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方正小标宋简体" w:hAnsi="方正小标宋简体" w:eastAsia="方正小标宋简体" w:cs="方正小标宋简体"/>
          <w:b w:val="0"/>
          <w:bCs/>
          <w:sz w:val="44"/>
          <w:szCs w:val="44"/>
        </w:rPr>
      </w:pPr>
      <w:bookmarkStart w:id="0" w:name="_Toc25204"/>
      <w:bookmarkStart w:id="1" w:name="_Toc2083793591"/>
      <w:bookmarkStart w:id="2" w:name="_Toc117777738"/>
    </w:p>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32"/>
          <w:szCs w:val="32"/>
        </w:rPr>
      </w:pPr>
      <w:bookmarkStart w:id="3" w:name="_Toc23518"/>
      <w:r>
        <w:rPr>
          <w:rFonts w:hint="eastAsia" w:ascii="方正小标宋简体" w:hAnsi="方正小标宋简体" w:eastAsia="方正小标宋简体" w:cs="方正小标宋简体"/>
          <w:b w:val="0"/>
          <w:bCs/>
          <w:sz w:val="52"/>
          <w:szCs w:val="52"/>
        </w:rPr>
        <w:t>深圳市辐射事故应急预案</w:t>
      </w:r>
      <w:bookmarkEnd w:id="3"/>
    </w:p>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方正小标宋简体" w:hAnsi="方正小标宋简体" w:eastAsia="方正小标宋简体" w:cs="方正小标宋简体"/>
          <w:b w:val="0"/>
          <w:bCs/>
          <w:sz w:val="44"/>
          <w:szCs w:val="44"/>
        </w:rPr>
      </w:pPr>
    </w:p>
    <w:p>
      <w:pPr>
        <w:pStyle w:val="2"/>
        <w:rPr>
          <w:rFonts w:hint="eastAsia" w:ascii="方正小标宋简体" w:hAnsi="方正小标宋简体" w:eastAsia="方正小标宋简体" w:cs="方正小标宋简体"/>
          <w:b w:val="0"/>
          <w:bCs/>
          <w:sz w:val="44"/>
          <w:szCs w:val="44"/>
        </w:rPr>
      </w:pPr>
    </w:p>
    <w:p>
      <w:pPr>
        <w:rPr>
          <w:rFonts w:hint="eastAsia" w:ascii="方正小标宋简体" w:hAnsi="方正小标宋简体" w:eastAsia="方正小标宋简体" w:cs="方正小标宋简体"/>
          <w:b w:val="0"/>
          <w:bCs/>
          <w:sz w:val="44"/>
          <w:szCs w:val="44"/>
        </w:rPr>
      </w:pPr>
    </w:p>
    <w:p>
      <w:pPr>
        <w:pStyle w:val="2"/>
        <w:rPr>
          <w:rFonts w:hint="eastAsia" w:ascii="方正小标宋简体" w:hAnsi="方正小标宋简体" w:eastAsia="方正小标宋简体" w:cs="方正小标宋简体"/>
          <w:b w:val="0"/>
          <w:bCs/>
          <w:sz w:val="44"/>
          <w:szCs w:val="44"/>
        </w:rPr>
      </w:pPr>
    </w:p>
    <w:p>
      <w:pPr>
        <w:rPr>
          <w:rFonts w:hint="eastAsia" w:ascii="方正小标宋简体" w:hAnsi="方正小标宋简体" w:eastAsia="方正小标宋简体" w:cs="方正小标宋简体"/>
          <w:b w:val="0"/>
          <w:bCs/>
          <w:sz w:val="44"/>
          <w:szCs w:val="44"/>
        </w:rPr>
      </w:pPr>
    </w:p>
    <w:p>
      <w:pPr>
        <w:pStyle w:val="2"/>
        <w:rPr>
          <w:rFonts w:hint="eastAsia" w:ascii="方正小标宋简体" w:hAnsi="方正小标宋简体" w:eastAsia="方正小标宋简体" w:cs="方正小标宋简体"/>
          <w:b w:val="0"/>
          <w:bCs/>
          <w:sz w:val="44"/>
          <w:szCs w:val="44"/>
        </w:rPr>
      </w:pPr>
    </w:p>
    <w:p>
      <w:pPr>
        <w:rPr>
          <w:rFonts w:hint="eastAsia" w:ascii="方正小标宋简体" w:hAnsi="方正小标宋简体" w:eastAsia="方正小标宋简体" w:cs="方正小标宋简体"/>
          <w:b w:val="0"/>
          <w:bCs/>
          <w:sz w:val="44"/>
          <w:szCs w:val="44"/>
        </w:rPr>
      </w:pPr>
    </w:p>
    <w:p>
      <w:pPr>
        <w:pStyle w:val="2"/>
        <w:rPr>
          <w:rFonts w:hint="eastAsia"/>
        </w:rPr>
      </w:pPr>
    </w:p>
    <w:p>
      <w:pPr>
        <w:rPr>
          <w:rFonts w:hint="eastAsia" w:ascii="方正小标宋简体" w:hAnsi="方正小标宋简体" w:eastAsia="方正小标宋简体" w:cs="方正小标宋简体"/>
          <w:b w:val="0"/>
          <w:bCs/>
          <w:sz w:val="44"/>
          <w:szCs w:val="44"/>
        </w:rPr>
      </w:pPr>
    </w:p>
    <w:p>
      <w:pPr>
        <w:pStyle w:val="2"/>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深圳市核与辐射事故应急指挥部</w:t>
      </w:r>
    </w:p>
    <w:p>
      <w:pPr>
        <w:jc w:val="center"/>
        <w:rPr>
          <w:rFonts w:hint="eastAsia" w:ascii="黑体" w:hAnsi="黑体" w:eastAsia="黑体" w:cs="黑体"/>
          <w:b w:val="0"/>
          <w:bCs/>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b w:val="0"/>
          <w:bCs/>
          <w:sz w:val="32"/>
          <w:szCs w:val="32"/>
          <w:lang w:val="en-US" w:eastAsia="zh-CN"/>
        </w:rPr>
        <w:t>2025年2月</w:t>
      </w:r>
    </w:p>
    <w:sdt>
      <w:sdtPr>
        <w:rPr>
          <w:rFonts w:ascii="宋体" w:hAnsi="宋体" w:eastAsia="宋体" w:cstheme="minorBidi"/>
          <w:kern w:val="2"/>
          <w:sz w:val="21"/>
          <w:szCs w:val="24"/>
          <w:lang w:val="en-US" w:eastAsia="zh-CN" w:bidi="ar-SA"/>
        </w:rPr>
        <w:id w:val="147474402"/>
        <w15:color w:val="DBDBDB"/>
        <w:docPartObj>
          <w:docPartGallery w:val="Table of Contents"/>
          <w:docPartUnique/>
        </w:docPartObj>
      </w:sdtPr>
      <w:sdtEndPr>
        <w:rPr>
          <w:rFonts w:hint="eastAsia" w:ascii="黑体" w:hAnsi="黑体" w:eastAsia="黑体" w:cs="黑体"/>
          <w:b/>
          <w:bCs/>
          <w:kern w:val="2"/>
          <w:sz w:val="21"/>
          <w:szCs w:val="32"/>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黑体" w:hAnsi="黑体" w:eastAsia="黑体" w:cs="黑体"/>
              <w:sz w:val="32"/>
              <w:szCs w:val="32"/>
            </w:rPr>
            <w:t>目录</w:t>
          </w:r>
        </w:p>
        <w:p>
          <w:pPr>
            <w:pStyle w:val="6"/>
            <w:tabs>
              <w:tab w:val="right" w:leader="dot" w:pos="8306"/>
            </w:tabs>
            <w:rPr>
              <w:sz w:val="28"/>
              <w:szCs w:val="28"/>
            </w:rPr>
          </w:pPr>
          <w:r>
            <w:rPr>
              <w:rFonts w:hint="eastAsia" w:ascii="黑体" w:hAnsi="黑体" w:eastAsia="黑体" w:cs="黑体"/>
              <w:bCs/>
              <w:sz w:val="32"/>
              <w:szCs w:val="32"/>
              <w:lang w:val="en-US" w:eastAsia="zh-CN"/>
            </w:rPr>
            <w:fldChar w:fldCharType="begin"/>
          </w:r>
          <w:r>
            <w:rPr>
              <w:rFonts w:hint="eastAsia" w:ascii="黑体" w:hAnsi="黑体" w:eastAsia="黑体" w:cs="黑体"/>
              <w:bCs/>
              <w:sz w:val="32"/>
              <w:szCs w:val="32"/>
              <w:lang w:val="en-US" w:eastAsia="zh-CN"/>
            </w:rPr>
            <w:instrText xml:space="preserve">TOC \o "1-2" \h \u </w:instrText>
          </w:r>
          <w:r>
            <w:rPr>
              <w:rFonts w:hint="eastAsia" w:ascii="黑体" w:hAnsi="黑体" w:eastAsia="黑体" w:cs="黑体"/>
              <w:bCs/>
              <w:sz w:val="32"/>
              <w:szCs w:val="32"/>
              <w:lang w:val="en-US" w:eastAsia="zh-CN"/>
            </w:rPr>
            <w:fldChar w:fldCharType="separate"/>
          </w: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_Toc15684 </w:instrText>
          </w:r>
          <w:r>
            <w:rPr>
              <w:rFonts w:hint="eastAsia" w:ascii="黑体" w:hAnsi="黑体" w:eastAsia="黑体" w:cs="黑体"/>
              <w:bCs/>
              <w:sz w:val="28"/>
              <w:szCs w:val="28"/>
              <w:lang w:val="en-US" w:eastAsia="zh-CN"/>
            </w:rPr>
            <w:fldChar w:fldCharType="separate"/>
          </w:r>
          <w:r>
            <w:rPr>
              <w:rFonts w:hint="eastAsia" w:ascii="黑体" w:hAnsi="黑体" w:eastAsia="黑体" w:cs="黑体"/>
              <w:bCs/>
              <w:sz w:val="28"/>
              <w:szCs w:val="28"/>
            </w:rPr>
            <w:t>1 总则</w:t>
          </w:r>
          <w:r>
            <w:rPr>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_Toc15684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_Toc4124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zh-CN"/>
            </w:rPr>
            <w:t>1.1 编制目的</w:t>
          </w:r>
          <w:r>
            <w:rPr>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_Toc4124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_Toc26013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zh-CN"/>
            </w:rPr>
            <w:t>1.2 编制依据</w:t>
          </w:r>
          <w:r>
            <w:rPr>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_Toc26013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_Toc10929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zh-CN"/>
            </w:rPr>
            <w:t>1.3 应急原则</w:t>
          </w:r>
          <w:r>
            <w:rPr>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_Toc15262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zh-CN"/>
            </w:rPr>
            <w:t>1.4 适用范围</w:t>
          </w:r>
          <w:r>
            <w:rPr>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_Toc15262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_Toc5513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zh-CN"/>
            </w:rPr>
            <w:t>1.5 辐射事故分级</w:t>
          </w:r>
          <w:r>
            <w:rPr>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_Toc5513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_Toc6686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zh-CN"/>
            </w:rPr>
            <w:t>1.6 辐射事故风险</w:t>
          </w:r>
          <w:r>
            <w:rPr>
              <w:rFonts w:hint="eastAsia" w:ascii="楷体_GB2312" w:hAnsi="楷体" w:eastAsia="楷体_GB2312" w:cs="Times New Roman"/>
              <w:bCs/>
              <w:kern w:val="32"/>
              <w:sz w:val="28"/>
              <w:szCs w:val="28"/>
              <w:highlight w:val="none"/>
              <w:lang w:val="en-US" w:eastAsia="zh-CN"/>
            </w:rPr>
            <w:t>分析</w:t>
          </w:r>
          <w:r>
            <w:rPr>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_Toc6686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黑体" w:hAnsi="黑体" w:eastAsia="黑体" w:cs="黑体"/>
              <w:bCs/>
              <w:sz w:val="28"/>
              <w:szCs w:val="28"/>
              <w:lang w:val="en-US" w:eastAsia="zh-CN"/>
            </w:rPr>
            <w:fldChar w:fldCharType="end"/>
          </w:r>
        </w:p>
        <w:p>
          <w:pPr>
            <w:pStyle w:val="6"/>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_Toc27661 </w:instrText>
          </w:r>
          <w:r>
            <w:rPr>
              <w:rFonts w:hint="eastAsia" w:ascii="黑体" w:hAnsi="黑体" w:eastAsia="黑体" w:cs="黑体"/>
              <w:bCs/>
              <w:sz w:val="28"/>
              <w:szCs w:val="28"/>
              <w:lang w:val="en-US" w:eastAsia="zh-CN"/>
            </w:rPr>
            <w:fldChar w:fldCharType="separate"/>
          </w:r>
          <w:r>
            <w:rPr>
              <w:rFonts w:hint="eastAsia" w:ascii="黑体" w:hAnsi="黑体" w:eastAsia="黑体" w:cs="黑体"/>
              <w:bCs/>
              <w:sz w:val="28"/>
              <w:szCs w:val="28"/>
            </w:rPr>
            <w:t>2 组织体系</w:t>
          </w:r>
          <w:r>
            <w:rPr>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_Toc27661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_Toc21287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zh-CN"/>
            </w:rPr>
            <w:t>2.1 市核与辐射事故应急指挥部</w:t>
          </w:r>
          <w:r>
            <w:rPr>
              <w:rFonts w:hint="eastAsia" w:ascii="楷体_GB2312" w:hAnsi="楷体" w:eastAsia="楷体_GB2312" w:cs="Times New Roman"/>
              <w:bCs/>
              <w:kern w:val="32"/>
              <w:sz w:val="28"/>
              <w:szCs w:val="28"/>
              <w:highlight w:val="none"/>
              <w:lang w:val="en-US" w:eastAsia="zh-CN"/>
            </w:rPr>
            <w:t>及其职责</w:t>
          </w:r>
          <w:r>
            <w:rPr>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_Toc21287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_Toc21338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zh-CN"/>
            </w:rPr>
            <w:t xml:space="preserve">2.2 </w:t>
          </w:r>
          <w:r>
            <w:rPr>
              <w:rFonts w:hint="eastAsia" w:ascii="楷体_GB2312" w:hAnsi="楷体" w:eastAsia="楷体_GB2312" w:cs="Times New Roman"/>
              <w:bCs/>
              <w:kern w:val="32"/>
              <w:sz w:val="28"/>
              <w:szCs w:val="28"/>
              <w:highlight w:val="none"/>
              <w:lang w:val="en-US" w:eastAsia="zh-CN"/>
            </w:rPr>
            <w:t>市核与辐射事故应急指挥部</w:t>
          </w:r>
          <w:r>
            <w:rPr>
              <w:rFonts w:hint="eastAsia" w:ascii="楷体_GB2312" w:hAnsi="楷体" w:eastAsia="楷体_GB2312" w:cs="Times New Roman"/>
              <w:bCs/>
              <w:kern w:val="32"/>
              <w:sz w:val="28"/>
              <w:szCs w:val="28"/>
              <w:highlight w:val="none"/>
              <w:lang w:val="zh-CN"/>
            </w:rPr>
            <w:t>办公室</w:t>
          </w:r>
          <w:r>
            <w:rPr>
              <w:rFonts w:hint="eastAsia" w:ascii="楷体_GB2312" w:hAnsi="楷体" w:eastAsia="楷体_GB2312" w:cs="Times New Roman"/>
              <w:bCs/>
              <w:kern w:val="32"/>
              <w:sz w:val="28"/>
              <w:szCs w:val="28"/>
              <w:highlight w:val="none"/>
              <w:lang w:val="en-US" w:eastAsia="zh-CN"/>
            </w:rPr>
            <w:t>及其职责</w:t>
          </w:r>
          <w:r>
            <w:rPr>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_Toc21338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_Toc3505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zh-CN"/>
            </w:rPr>
            <w:t>2.</w:t>
          </w:r>
          <w:r>
            <w:rPr>
              <w:rFonts w:hint="eastAsia" w:ascii="楷体_GB2312" w:hAnsi="楷体" w:eastAsia="楷体_GB2312" w:cs="Times New Roman"/>
              <w:bCs/>
              <w:kern w:val="32"/>
              <w:sz w:val="28"/>
              <w:szCs w:val="28"/>
              <w:highlight w:val="none"/>
              <w:lang w:val="en-US" w:eastAsia="zh-CN"/>
            </w:rPr>
            <w:t>3</w:t>
          </w:r>
          <w:r>
            <w:rPr>
              <w:rFonts w:hint="eastAsia" w:ascii="楷体_GB2312" w:hAnsi="楷体" w:eastAsia="楷体_GB2312" w:cs="Times New Roman"/>
              <w:bCs/>
              <w:kern w:val="32"/>
              <w:sz w:val="28"/>
              <w:szCs w:val="28"/>
              <w:highlight w:val="none"/>
              <w:lang w:val="zh-CN"/>
            </w:rPr>
            <w:t xml:space="preserve"> </w:t>
          </w:r>
          <w:r>
            <w:rPr>
              <w:rFonts w:hint="eastAsia" w:ascii="楷体_GB2312" w:hAnsi="楷体" w:eastAsia="楷体_GB2312" w:cs="Times New Roman"/>
              <w:bCs/>
              <w:kern w:val="32"/>
              <w:sz w:val="28"/>
              <w:szCs w:val="28"/>
              <w:highlight w:val="none"/>
              <w:lang w:val="en-US" w:eastAsia="zh-CN"/>
            </w:rPr>
            <w:t>市核与辐射事故应急指挥部成员单位及其职责</w:t>
          </w:r>
          <w:r>
            <w:rPr>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_Toc3505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_Toc23436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zh-CN"/>
            </w:rPr>
            <w:t>2.</w:t>
          </w:r>
          <w:r>
            <w:rPr>
              <w:rFonts w:hint="eastAsia" w:ascii="楷体_GB2312" w:hAnsi="楷体" w:eastAsia="楷体_GB2312" w:cs="Times New Roman"/>
              <w:bCs/>
              <w:kern w:val="32"/>
              <w:sz w:val="28"/>
              <w:szCs w:val="28"/>
              <w:highlight w:val="none"/>
              <w:lang w:val="en-US" w:eastAsia="zh-CN"/>
            </w:rPr>
            <w:t>4</w:t>
          </w:r>
          <w:r>
            <w:rPr>
              <w:rFonts w:hint="eastAsia" w:ascii="楷体_GB2312" w:hAnsi="楷体" w:eastAsia="楷体_GB2312" w:cs="Times New Roman"/>
              <w:bCs/>
              <w:kern w:val="32"/>
              <w:sz w:val="28"/>
              <w:szCs w:val="28"/>
              <w:highlight w:val="none"/>
              <w:lang w:val="zh-CN"/>
            </w:rPr>
            <w:t xml:space="preserve"> 专家咨询组</w:t>
          </w:r>
          <w:r>
            <w:rPr>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_Toc23436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_Toc12873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en-US" w:eastAsia="zh-CN"/>
            </w:rPr>
            <w:t>2</w:t>
          </w:r>
          <w:r>
            <w:rPr>
              <w:rFonts w:hint="eastAsia" w:ascii="楷体_GB2312" w:hAnsi="楷体" w:eastAsia="楷体_GB2312" w:cs="Times New Roman"/>
              <w:bCs/>
              <w:kern w:val="32"/>
              <w:sz w:val="28"/>
              <w:szCs w:val="28"/>
              <w:highlight w:val="none"/>
              <w:lang w:val="zh-CN"/>
            </w:rPr>
            <w:t>.5 核技术利用单位</w:t>
          </w:r>
          <w:r>
            <w:rPr>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_Toc12873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黑体" w:hAnsi="黑体" w:eastAsia="黑体" w:cs="黑体"/>
              <w:bCs/>
              <w:sz w:val="28"/>
              <w:szCs w:val="28"/>
              <w:lang w:val="en-US" w:eastAsia="zh-CN"/>
            </w:rPr>
            <w:fldChar w:fldCharType="end"/>
          </w:r>
        </w:p>
        <w:p>
          <w:pPr>
            <w:pStyle w:val="6"/>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_Toc2139 </w:instrText>
          </w:r>
          <w:r>
            <w:rPr>
              <w:rFonts w:hint="eastAsia" w:ascii="黑体" w:hAnsi="黑体" w:eastAsia="黑体" w:cs="黑体"/>
              <w:bCs/>
              <w:sz w:val="28"/>
              <w:szCs w:val="28"/>
              <w:lang w:val="en-US" w:eastAsia="zh-CN"/>
            </w:rPr>
            <w:fldChar w:fldCharType="separate"/>
          </w:r>
          <w:r>
            <w:rPr>
              <w:rFonts w:hint="eastAsia" w:ascii="黑体" w:hAnsi="黑体" w:eastAsia="黑体" w:cs="黑体"/>
              <w:bCs/>
              <w:sz w:val="28"/>
              <w:szCs w:val="28"/>
            </w:rPr>
            <w:t xml:space="preserve">3 </w:t>
          </w:r>
          <w:r>
            <w:rPr>
              <w:rFonts w:hint="eastAsia" w:ascii="黑体" w:hAnsi="黑体" w:eastAsia="黑体" w:cs="黑体"/>
              <w:bCs/>
              <w:sz w:val="28"/>
              <w:szCs w:val="28"/>
              <w:lang w:val="en-US" w:eastAsia="zh-CN"/>
            </w:rPr>
            <w:t>运行机制</w:t>
          </w:r>
          <w:r>
            <w:rPr>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_Toc26042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zh-CN"/>
            </w:rPr>
            <w:t>3.1 风险防控</w:t>
          </w:r>
          <w:r>
            <w:rPr>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_Toc26042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_Toc9101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zh-CN"/>
            </w:rPr>
            <w:t>3.2 监测预警</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_Toc9101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_Toc18996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zh-CN" w:eastAsia="zh-CN"/>
            </w:rPr>
            <w:t>3.3</w:t>
          </w:r>
          <w:r>
            <w:rPr>
              <w:rFonts w:hint="eastAsia" w:ascii="楷体_GB2312" w:hAnsi="楷体" w:eastAsia="楷体_GB2312" w:cs="Times New Roman"/>
              <w:bCs/>
              <w:kern w:val="32"/>
              <w:sz w:val="28"/>
              <w:szCs w:val="28"/>
              <w:highlight w:val="none"/>
              <w:lang w:val="zh-CN"/>
            </w:rPr>
            <w:t>应急响应</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_Toc18996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_Toc17037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en-US" w:eastAsia="zh-CN"/>
            </w:rPr>
            <w:t>3</w:t>
          </w:r>
          <w:r>
            <w:rPr>
              <w:rFonts w:hint="eastAsia" w:ascii="楷体_GB2312" w:hAnsi="楷体" w:eastAsia="楷体_GB2312" w:cs="Times New Roman"/>
              <w:bCs/>
              <w:kern w:val="32"/>
              <w:sz w:val="28"/>
              <w:szCs w:val="28"/>
              <w:highlight w:val="none"/>
              <w:lang w:val="zh-CN"/>
            </w:rPr>
            <w:t>.4 现场指挥部</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_Toc17037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15</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_Toc19106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en-US" w:eastAsia="zh-CN"/>
            </w:rPr>
            <w:t>3</w:t>
          </w:r>
          <w:r>
            <w:rPr>
              <w:rFonts w:hint="eastAsia" w:ascii="楷体_GB2312" w:hAnsi="楷体" w:eastAsia="楷体_GB2312" w:cs="Times New Roman"/>
              <w:bCs/>
              <w:kern w:val="32"/>
              <w:sz w:val="28"/>
              <w:szCs w:val="28"/>
              <w:highlight w:val="none"/>
              <w:lang w:val="zh-CN"/>
            </w:rPr>
            <w:t>.</w:t>
          </w:r>
          <w:r>
            <w:rPr>
              <w:rFonts w:hint="eastAsia" w:ascii="楷体_GB2312" w:hAnsi="楷体" w:eastAsia="楷体_GB2312" w:cs="Times New Roman"/>
              <w:bCs/>
              <w:kern w:val="32"/>
              <w:sz w:val="28"/>
              <w:szCs w:val="28"/>
              <w:highlight w:val="none"/>
              <w:lang w:eastAsia="zh-CN"/>
            </w:rPr>
            <w:t>5</w:t>
          </w:r>
          <w:r>
            <w:rPr>
              <w:rFonts w:hint="eastAsia" w:ascii="楷体_GB2312" w:hAnsi="楷体" w:eastAsia="楷体_GB2312" w:cs="Times New Roman"/>
              <w:bCs/>
              <w:kern w:val="32"/>
              <w:sz w:val="28"/>
              <w:szCs w:val="28"/>
              <w:highlight w:val="none"/>
              <w:lang w:val="zh-CN"/>
            </w:rPr>
            <w:t xml:space="preserve"> 现场处置</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_Toc19106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19</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_Toc4228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en-US" w:eastAsia="zh-CN"/>
            </w:rPr>
            <w:t>3</w:t>
          </w:r>
          <w:r>
            <w:rPr>
              <w:rFonts w:hint="eastAsia" w:ascii="楷体_GB2312" w:hAnsi="楷体" w:eastAsia="楷体_GB2312" w:cs="Times New Roman"/>
              <w:bCs/>
              <w:kern w:val="32"/>
              <w:sz w:val="28"/>
              <w:szCs w:val="28"/>
              <w:highlight w:val="none"/>
              <w:lang w:val="zh-CN"/>
            </w:rPr>
            <w:t>.</w:t>
          </w:r>
          <w:r>
            <w:rPr>
              <w:rFonts w:hint="eastAsia" w:ascii="楷体_GB2312" w:hAnsi="楷体" w:eastAsia="楷体_GB2312" w:cs="Times New Roman"/>
              <w:bCs/>
              <w:kern w:val="32"/>
              <w:sz w:val="28"/>
              <w:szCs w:val="28"/>
              <w:highlight w:val="none"/>
              <w:lang w:eastAsia="zh-CN"/>
            </w:rPr>
            <w:t>6</w:t>
          </w:r>
          <w:r>
            <w:rPr>
              <w:rFonts w:hint="eastAsia" w:ascii="楷体_GB2312" w:hAnsi="楷体" w:eastAsia="楷体_GB2312" w:cs="Times New Roman"/>
              <w:bCs/>
              <w:kern w:val="32"/>
              <w:sz w:val="28"/>
              <w:szCs w:val="28"/>
              <w:highlight w:val="none"/>
              <w:lang w:val="zh-CN"/>
            </w:rPr>
            <w:t xml:space="preserve"> 信息发布</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_Toc4228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20</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_Toc28078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en-US" w:eastAsia="zh-CN"/>
            </w:rPr>
            <w:t>3</w:t>
          </w:r>
          <w:r>
            <w:rPr>
              <w:rFonts w:hint="eastAsia" w:ascii="楷体_GB2312" w:hAnsi="楷体" w:eastAsia="楷体_GB2312" w:cs="Times New Roman"/>
              <w:bCs/>
              <w:kern w:val="32"/>
              <w:sz w:val="28"/>
              <w:szCs w:val="28"/>
              <w:highlight w:val="none"/>
              <w:lang w:val="zh-CN"/>
            </w:rPr>
            <w:t>.</w:t>
          </w:r>
          <w:r>
            <w:rPr>
              <w:rFonts w:hint="eastAsia" w:ascii="楷体_GB2312" w:hAnsi="楷体" w:eastAsia="楷体_GB2312" w:cs="Times New Roman"/>
              <w:bCs/>
              <w:kern w:val="32"/>
              <w:sz w:val="28"/>
              <w:szCs w:val="28"/>
              <w:highlight w:val="none"/>
              <w:lang w:eastAsia="zh-CN"/>
            </w:rPr>
            <w:t>7</w:t>
          </w:r>
          <w:r>
            <w:rPr>
              <w:rFonts w:hint="eastAsia" w:ascii="楷体_GB2312" w:hAnsi="楷体" w:eastAsia="楷体_GB2312" w:cs="Times New Roman"/>
              <w:bCs/>
              <w:kern w:val="32"/>
              <w:sz w:val="28"/>
              <w:szCs w:val="28"/>
              <w:highlight w:val="none"/>
              <w:lang w:val="zh-CN"/>
            </w:rPr>
            <w:t xml:space="preserve"> 扩大应急</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_Toc28078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21</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_Toc11827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en-US" w:eastAsia="zh-CN"/>
            </w:rPr>
            <w:t>3</w:t>
          </w:r>
          <w:r>
            <w:rPr>
              <w:rFonts w:hint="eastAsia" w:ascii="楷体_GB2312" w:hAnsi="楷体" w:eastAsia="楷体_GB2312" w:cs="Times New Roman"/>
              <w:bCs/>
              <w:kern w:val="32"/>
              <w:sz w:val="28"/>
              <w:szCs w:val="28"/>
              <w:highlight w:val="none"/>
              <w:lang w:val="zh-CN"/>
            </w:rPr>
            <w:t>.</w:t>
          </w:r>
          <w:r>
            <w:rPr>
              <w:rFonts w:hint="eastAsia" w:ascii="楷体_GB2312" w:hAnsi="楷体" w:eastAsia="楷体_GB2312" w:cs="Times New Roman"/>
              <w:bCs/>
              <w:kern w:val="32"/>
              <w:sz w:val="28"/>
              <w:szCs w:val="28"/>
              <w:highlight w:val="none"/>
              <w:lang w:eastAsia="zh-CN"/>
            </w:rPr>
            <w:t>8</w:t>
          </w:r>
          <w:r>
            <w:rPr>
              <w:rFonts w:hint="eastAsia" w:ascii="楷体_GB2312" w:hAnsi="楷体" w:eastAsia="楷体_GB2312" w:cs="Times New Roman"/>
              <w:bCs/>
              <w:kern w:val="32"/>
              <w:sz w:val="28"/>
              <w:szCs w:val="28"/>
              <w:highlight w:val="none"/>
              <w:lang w:val="zh-CN"/>
            </w:rPr>
            <w:t xml:space="preserve"> 安全防护</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_Toc11827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21</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_Toc30533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en-US" w:eastAsia="zh-CN"/>
            </w:rPr>
            <w:t>3</w:t>
          </w:r>
          <w:r>
            <w:rPr>
              <w:rFonts w:hint="eastAsia" w:ascii="楷体_GB2312" w:hAnsi="楷体" w:eastAsia="楷体_GB2312" w:cs="Times New Roman"/>
              <w:bCs/>
              <w:kern w:val="32"/>
              <w:sz w:val="28"/>
              <w:szCs w:val="28"/>
              <w:highlight w:val="none"/>
              <w:lang w:val="zh-CN"/>
            </w:rPr>
            <w:t>.</w:t>
          </w:r>
          <w:r>
            <w:rPr>
              <w:rFonts w:hint="eastAsia" w:ascii="楷体_GB2312" w:hAnsi="楷体" w:eastAsia="楷体_GB2312" w:cs="Times New Roman"/>
              <w:bCs/>
              <w:kern w:val="32"/>
              <w:sz w:val="28"/>
              <w:szCs w:val="28"/>
              <w:highlight w:val="none"/>
              <w:lang w:eastAsia="zh-CN"/>
            </w:rPr>
            <w:t>9</w:t>
          </w:r>
          <w:r>
            <w:rPr>
              <w:rFonts w:hint="eastAsia" w:ascii="楷体_GB2312" w:hAnsi="楷体" w:eastAsia="楷体_GB2312" w:cs="Times New Roman"/>
              <w:bCs/>
              <w:kern w:val="32"/>
              <w:sz w:val="28"/>
              <w:szCs w:val="28"/>
              <w:highlight w:val="none"/>
              <w:lang w:val="zh-CN"/>
            </w:rPr>
            <w:t xml:space="preserve"> 响应终止</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_Toc30533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22</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_Toc1053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zh-CN" w:eastAsia="zh-CN"/>
            </w:rPr>
            <w:t>3.10</w:t>
          </w:r>
          <w:r>
            <w:rPr>
              <w:rFonts w:hint="eastAsia" w:ascii="楷体_GB2312" w:hAnsi="楷体" w:eastAsia="楷体_GB2312" w:cs="Times New Roman"/>
              <w:bCs/>
              <w:kern w:val="32"/>
              <w:sz w:val="28"/>
              <w:szCs w:val="28"/>
              <w:highlight w:val="none"/>
              <w:lang w:val="zh-CN"/>
            </w:rPr>
            <w:t>后期处置</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_Toc1053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23</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6"/>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_Toc19870 </w:instrText>
          </w:r>
          <w:r>
            <w:rPr>
              <w:rFonts w:hint="eastAsia" w:ascii="黑体" w:hAnsi="黑体" w:eastAsia="黑体" w:cs="黑体"/>
              <w:bCs/>
              <w:sz w:val="28"/>
              <w:szCs w:val="28"/>
              <w:lang w:val="en-US" w:eastAsia="zh-CN"/>
            </w:rPr>
            <w:fldChar w:fldCharType="separate"/>
          </w:r>
          <w:r>
            <w:rPr>
              <w:rFonts w:hint="eastAsia" w:ascii="黑体" w:hAnsi="黑体" w:eastAsia="黑体" w:cs="黑体"/>
              <w:bCs/>
              <w:sz w:val="28"/>
              <w:szCs w:val="28"/>
              <w:lang w:eastAsia="zh-CN"/>
            </w:rPr>
            <w:t>4</w:t>
          </w:r>
          <w:r>
            <w:rPr>
              <w:rFonts w:hint="eastAsia" w:ascii="黑体" w:hAnsi="黑体" w:eastAsia="黑体" w:cs="黑体"/>
              <w:bCs/>
              <w:sz w:val="28"/>
              <w:szCs w:val="28"/>
            </w:rPr>
            <w:t xml:space="preserve"> </w:t>
          </w:r>
          <w:r>
            <w:rPr>
              <w:rFonts w:hint="eastAsia" w:ascii="黑体" w:hAnsi="黑体" w:eastAsia="黑体" w:cs="黑体"/>
              <w:bCs/>
              <w:sz w:val="28"/>
              <w:szCs w:val="28"/>
              <w:lang w:val="en-US" w:eastAsia="zh-CN"/>
            </w:rPr>
            <w:t>准备与支持</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_Toc19870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24</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_Toc26732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en-US" w:eastAsia="zh-CN"/>
            </w:rPr>
            <w:t>4</w:t>
          </w:r>
          <w:r>
            <w:rPr>
              <w:rFonts w:hint="eastAsia" w:ascii="楷体_GB2312" w:hAnsi="楷体" w:eastAsia="楷体_GB2312" w:cs="Times New Roman"/>
              <w:bCs/>
              <w:kern w:val="32"/>
              <w:sz w:val="28"/>
              <w:szCs w:val="28"/>
              <w:highlight w:val="none"/>
              <w:lang w:val="zh-CN"/>
            </w:rPr>
            <w:t>.1 队伍保障</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_Toc26732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24</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_Toc7110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en-US" w:eastAsia="zh-CN"/>
            </w:rPr>
            <w:t>4</w:t>
          </w:r>
          <w:r>
            <w:rPr>
              <w:rFonts w:hint="eastAsia" w:ascii="楷体_GB2312" w:hAnsi="楷体" w:eastAsia="楷体_GB2312" w:cs="Times New Roman"/>
              <w:bCs/>
              <w:kern w:val="32"/>
              <w:sz w:val="28"/>
              <w:szCs w:val="28"/>
              <w:highlight w:val="none"/>
              <w:lang w:val="zh-CN"/>
            </w:rPr>
            <w:t>.2 经费保障</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_Toc7110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24</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_Toc31066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en-US" w:eastAsia="zh-CN"/>
            </w:rPr>
            <w:t>4</w:t>
          </w:r>
          <w:r>
            <w:rPr>
              <w:rFonts w:hint="eastAsia" w:ascii="楷体_GB2312" w:hAnsi="楷体" w:eastAsia="楷体_GB2312" w:cs="Times New Roman"/>
              <w:bCs/>
              <w:kern w:val="32"/>
              <w:sz w:val="28"/>
              <w:szCs w:val="28"/>
              <w:highlight w:val="none"/>
              <w:lang w:val="zh-CN"/>
            </w:rPr>
            <w:t>.3 装备保障</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_Toc31066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24</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_Toc12514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en-US" w:eastAsia="zh-CN"/>
            </w:rPr>
            <w:t>4</w:t>
          </w:r>
          <w:r>
            <w:rPr>
              <w:rFonts w:hint="eastAsia" w:ascii="楷体_GB2312" w:hAnsi="楷体" w:eastAsia="楷体_GB2312" w:cs="Times New Roman"/>
              <w:bCs/>
              <w:kern w:val="32"/>
              <w:sz w:val="28"/>
              <w:szCs w:val="28"/>
              <w:highlight w:val="none"/>
              <w:lang w:val="zh-CN"/>
            </w:rPr>
            <w:t>.4 专业保障</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_Toc12514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25</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6"/>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_Toc13296 </w:instrText>
          </w:r>
          <w:r>
            <w:rPr>
              <w:rFonts w:hint="eastAsia" w:ascii="黑体" w:hAnsi="黑体" w:eastAsia="黑体" w:cs="黑体"/>
              <w:bCs/>
              <w:sz w:val="28"/>
              <w:szCs w:val="28"/>
              <w:lang w:val="en-US" w:eastAsia="zh-CN"/>
            </w:rPr>
            <w:fldChar w:fldCharType="separate"/>
          </w:r>
          <w:r>
            <w:rPr>
              <w:rFonts w:hint="eastAsia" w:ascii="黑体" w:hAnsi="黑体" w:eastAsia="黑体" w:cs="黑体"/>
              <w:bCs/>
              <w:sz w:val="28"/>
              <w:szCs w:val="28"/>
              <w:lang w:eastAsia="zh-CN"/>
            </w:rPr>
            <w:t>5</w:t>
          </w:r>
          <w:r>
            <w:rPr>
              <w:rFonts w:hint="eastAsia" w:ascii="黑体" w:hAnsi="黑体" w:eastAsia="黑体" w:cs="黑体"/>
              <w:bCs/>
              <w:sz w:val="28"/>
              <w:szCs w:val="28"/>
            </w:rPr>
            <w:t xml:space="preserve"> 监督管理</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_Toc13296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25</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_Toc7816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en-US" w:eastAsia="zh-CN"/>
            </w:rPr>
            <w:t>5</w:t>
          </w:r>
          <w:r>
            <w:rPr>
              <w:rFonts w:hint="eastAsia" w:ascii="楷体_GB2312" w:hAnsi="楷体" w:eastAsia="楷体_GB2312" w:cs="Times New Roman"/>
              <w:bCs/>
              <w:kern w:val="32"/>
              <w:sz w:val="28"/>
              <w:szCs w:val="28"/>
              <w:highlight w:val="none"/>
              <w:lang w:val="zh-CN"/>
            </w:rPr>
            <w:t xml:space="preserve">.1 </w:t>
          </w:r>
          <w:r>
            <w:rPr>
              <w:rFonts w:hint="eastAsia" w:ascii="楷体_GB2312" w:hAnsi="楷体" w:eastAsia="楷体_GB2312" w:cs="Times New Roman"/>
              <w:bCs/>
              <w:kern w:val="32"/>
              <w:sz w:val="28"/>
              <w:szCs w:val="28"/>
              <w:highlight w:val="none"/>
              <w:lang w:val="en-US" w:eastAsia="zh-CN"/>
            </w:rPr>
            <w:t>宣传</w:t>
          </w:r>
          <w:r>
            <w:rPr>
              <w:rFonts w:hint="eastAsia" w:ascii="楷体_GB2312" w:hAnsi="楷体" w:eastAsia="楷体_GB2312" w:cs="Times New Roman"/>
              <w:bCs/>
              <w:kern w:val="32"/>
              <w:sz w:val="28"/>
              <w:szCs w:val="28"/>
              <w:highlight w:val="none"/>
              <w:lang w:val="zh-CN"/>
            </w:rPr>
            <w:t>培训</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_Toc7816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25</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_Toc29032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en-US" w:eastAsia="zh-CN"/>
            </w:rPr>
            <w:t>5</w:t>
          </w:r>
          <w:r>
            <w:rPr>
              <w:rFonts w:hint="eastAsia" w:ascii="楷体_GB2312" w:hAnsi="楷体" w:eastAsia="楷体_GB2312" w:cs="Times New Roman"/>
              <w:bCs/>
              <w:kern w:val="32"/>
              <w:sz w:val="28"/>
              <w:szCs w:val="28"/>
              <w:highlight w:val="none"/>
              <w:lang w:val="zh-CN"/>
            </w:rPr>
            <w:t xml:space="preserve">.2 </w:t>
          </w:r>
          <w:r>
            <w:rPr>
              <w:rFonts w:hint="eastAsia" w:ascii="楷体_GB2312" w:hAnsi="楷体" w:eastAsia="楷体_GB2312" w:cs="Times New Roman"/>
              <w:bCs/>
              <w:kern w:val="32"/>
              <w:sz w:val="28"/>
              <w:szCs w:val="28"/>
              <w:highlight w:val="none"/>
              <w:lang w:val="en-US" w:eastAsia="zh-CN"/>
            </w:rPr>
            <w:t>应急</w:t>
          </w:r>
          <w:r>
            <w:rPr>
              <w:rFonts w:hint="eastAsia" w:ascii="楷体_GB2312" w:hAnsi="楷体" w:eastAsia="楷体_GB2312" w:cs="Times New Roman"/>
              <w:bCs/>
              <w:kern w:val="32"/>
              <w:sz w:val="28"/>
              <w:szCs w:val="28"/>
              <w:highlight w:val="none"/>
              <w:lang w:val="zh-CN"/>
            </w:rPr>
            <w:t>演练</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_Toc29032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25</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_Toc14081 </w:instrText>
          </w:r>
          <w:r>
            <w:rPr>
              <w:rFonts w:hint="eastAsia" w:ascii="黑体" w:hAnsi="黑体" w:eastAsia="黑体" w:cs="黑体"/>
              <w:bCs/>
              <w:sz w:val="28"/>
              <w:szCs w:val="28"/>
              <w:lang w:val="en-US" w:eastAsia="zh-CN"/>
            </w:rPr>
            <w:fldChar w:fldCharType="separate"/>
          </w:r>
          <w:r>
            <w:rPr>
              <w:rFonts w:hint="default" w:ascii="楷体_GB2312" w:hAnsi="楷体" w:eastAsia="楷体_GB2312" w:cs="Times New Roman"/>
              <w:bCs/>
              <w:kern w:val="32"/>
              <w:sz w:val="28"/>
              <w:szCs w:val="28"/>
              <w:highlight w:val="none"/>
              <w:lang w:val="en-US" w:eastAsia="zh-CN"/>
            </w:rPr>
            <w:t>5.3</w:t>
          </w:r>
          <w:r>
            <w:rPr>
              <w:rFonts w:hint="eastAsia" w:ascii="楷体_GB2312" w:hAnsi="楷体" w:eastAsia="楷体_GB2312" w:cs="Times New Roman"/>
              <w:bCs/>
              <w:kern w:val="32"/>
              <w:sz w:val="28"/>
              <w:szCs w:val="28"/>
              <w:highlight w:val="none"/>
              <w:lang w:val="en-US" w:eastAsia="zh-CN"/>
            </w:rPr>
            <w:t>监督检查</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_Toc14081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26</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_Toc2298 </w:instrText>
          </w:r>
          <w:r>
            <w:rPr>
              <w:rFonts w:hint="eastAsia" w:ascii="黑体" w:hAnsi="黑体" w:eastAsia="黑体" w:cs="黑体"/>
              <w:bCs/>
              <w:sz w:val="28"/>
              <w:szCs w:val="28"/>
              <w:lang w:val="en-US" w:eastAsia="zh-CN"/>
            </w:rPr>
            <w:fldChar w:fldCharType="separate"/>
          </w:r>
          <w:r>
            <w:rPr>
              <w:rFonts w:hint="default" w:ascii="楷体_GB2312" w:hAnsi="楷体" w:eastAsia="楷体_GB2312" w:cs="Times New Roman"/>
              <w:bCs/>
              <w:kern w:val="32"/>
              <w:sz w:val="28"/>
              <w:szCs w:val="28"/>
              <w:highlight w:val="none"/>
              <w:lang w:val="en-US" w:eastAsia="zh-CN"/>
            </w:rPr>
            <w:t>5.</w:t>
          </w:r>
          <w:r>
            <w:rPr>
              <w:rFonts w:hint="eastAsia" w:ascii="楷体_GB2312" w:hAnsi="楷体" w:eastAsia="楷体_GB2312" w:cs="Times New Roman"/>
              <w:bCs/>
              <w:kern w:val="32"/>
              <w:sz w:val="28"/>
              <w:szCs w:val="28"/>
              <w:highlight w:val="none"/>
              <w:lang w:val="en-US" w:eastAsia="zh-CN"/>
            </w:rPr>
            <w:t>4</w:t>
          </w:r>
          <w:r>
            <w:rPr>
              <w:rFonts w:hint="default" w:ascii="楷体_GB2312" w:hAnsi="楷体" w:eastAsia="楷体_GB2312" w:cs="Times New Roman"/>
              <w:bCs/>
              <w:kern w:val="32"/>
              <w:sz w:val="28"/>
              <w:szCs w:val="28"/>
              <w:highlight w:val="none"/>
              <w:lang w:val="en-US" w:eastAsia="zh-CN"/>
            </w:rPr>
            <w:t>责任奖惩</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_Toc2298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26</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6"/>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_Toc21101 </w:instrText>
          </w:r>
          <w:r>
            <w:rPr>
              <w:rFonts w:hint="eastAsia" w:ascii="黑体" w:hAnsi="黑体" w:eastAsia="黑体" w:cs="黑体"/>
              <w:bCs/>
              <w:sz w:val="28"/>
              <w:szCs w:val="28"/>
              <w:lang w:val="en-US" w:eastAsia="zh-CN"/>
            </w:rPr>
            <w:fldChar w:fldCharType="separate"/>
          </w:r>
          <w:r>
            <w:rPr>
              <w:rFonts w:hint="eastAsia" w:ascii="黑体" w:hAnsi="黑体" w:eastAsia="黑体" w:cs="黑体"/>
              <w:sz w:val="28"/>
              <w:szCs w:val="28"/>
              <w:lang w:eastAsia="zh-CN"/>
            </w:rPr>
            <w:t>6</w:t>
          </w:r>
          <w:r>
            <w:rPr>
              <w:rFonts w:hint="eastAsia" w:ascii="黑体" w:hAnsi="黑体" w:eastAsia="黑体" w:cs="黑体"/>
              <w:bCs/>
              <w:sz w:val="28"/>
              <w:szCs w:val="28"/>
            </w:rPr>
            <w:t xml:space="preserve"> 附则</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_Toc21101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26</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_Toc236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en-US" w:eastAsia="zh-CN"/>
            </w:rPr>
            <w:t>6</w:t>
          </w:r>
          <w:r>
            <w:rPr>
              <w:rFonts w:hint="eastAsia" w:ascii="楷体_GB2312" w:hAnsi="楷体" w:eastAsia="楷体_GB2312" w:cs="Times New Roman"/>
              <w:bCs/>
              <w:kern w:val="32"/>
              <w:sz w:val="28"/>
              <w:szCs w:val="28"/>
              <w:highlight w:val="none"/>
              <w:lang w:val="zh-CN"/>
            </w:rPr>
            <w:t>.1 定义</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_Toc236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26</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_Toc14872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en-US" w:eastAsia="zh-CN"/>
            </w:rPr>
            <w:t>6</w:t>
          </w:r>
          <w:r>
            <w:rPr>
              <w:rFonts w:hint="eastAsia" w:ascii="楷体_GB2312" w:hAnsi="楷体" w:eastAsia="楷体_GB2312" w:cs="Times New Roman"/>
              <w:bCs/>
              <w:kern w:val="32"/>
              <w:sz w:val="28"/>
              <w:szCs w:val="28"/>
              <w:highlight w:val="none"/>
              <w:lang w:val="zh-CN"/>
            </w:rPr>
            <w:t>.2 预案管理</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_Toc14872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27</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_Toc20743 </w:instrText>
          </w:r>
          <w:r>
            <w:rPr>
              <w:rFonts w:hint="eastAsia" w:ascii="黑体" w:hAnsi="黑体" w:eastAsia="黑体" w:cs="黑体"/>
              <w:bCs/>
              <w:sz w:val="28"/>
              <w:szCs w:val="28"/>
              <w:lang w:val="en-US" w:eastAsia="zh-CN"/>
            </w:rPr>
            <w:fldChar w:fldCharType="separate"/>
          </w:r>
          <w:r>
            <w:rPr>
              <w:rFonts w:hint="eastAsia" w:ascii="楷体_GB2312" w:hAnsi="楷体" w:eastAsia="楷体_GB2312" w:cs="Times New Roman"/>
              <w:bCs/>
              <w:kern w:val="32"/>
              <w:sz w:val="28"/>
              <w:szCs w:val="28"/>
              <w:highlight w:val="none"/>
              <w:lang w:val="en-US" w:eastAsia="zh-CN"/>
            </w:rPr>
            <w:t>6</w:t>
          </w:r>
          <w:r>
            <w:rPr>
              <w:rFonts w:hint="eastAsia" w:ascii="楷体_GB2312" w:hAnsi="楷体" w:eastAsia="楷体_GB2312" w:cs="Times New Roman"/>
              <w:bCs/>
              <w:kern w:val="32"/>
              <w:sz w:val="28"/>
              <w:szCs w:val="28"/>
              <w:highlight w:val="none"/>
              <w:lang w:val="zh-CN"/>
            </w:rPr>
            <w:t>.3 预案实施时间</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_Toc20743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27</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6"/>
            <w:tabs>
              <w:tab w:val="right" w:leader="dot" w:pos="8306"/>
            </w:tabs>
            <w:rPr>
              <w:sz w:val="28"/>
              <w:szCs w:val="28"/>
            </w:rPr>
          </w:pPr>
          <w:r>
            <w:rPr>
              <w:rFonts w:hint="eastAsia" w:ascii="黑体" w:hAnsi="黑体" w:eastAsia="黑体" w:cs="黑体"/>
              <w:bCs/>
              <w:sz w:val="28"/>
              <w:szCs w:val="28"/>
              <w:lang w:val="en-US" w:eastAsia="zh-CN"/>
            </w:rPr>
            <w:fldChar w:fldCharType="begin"/>
          </w:r>
          <w:r>
            <w:rPr>
              <w:rFonts w:hint="eastAsia" w:ascii="黑体" w:hAnsi="黑体" w:eastAsia="黑体" w:cs="黑体"/>
              <w:bCs/>
              <w:sz w:val="28"/>
              <w:szCs w:val="28"/>
              <w:lang w:val="en-US" w:eastAsia="zh-CN"/>
            </w:rPr>
            <w:instrText xml:space="preserve"> HYPERLINK \l _Toc21391 </w:instrText>
          </w:r>
          <w:r>
            <w:rPr>
              <w:rFonts w:hint="eastAsia" w:ascii="黑体" w:hAnsi="黑体" w:eastAsia="黑体" w:cs="黑体"/>
              <w:bCs/>
              <w:sz w:val="28"/>
              <w:szCs w:val="28"/>
              <w:lang w:val="en-US" w:eastAsia="zh-CN"/>
            </w:rPr>
            <w:fldChar w:fldCharType="separate"/>
          </w:r>
          <w:r>
            <w:rPr>
              <w:rFonts w:hint="eastAsia" w:ascii="黑体" w:hAnsi="黑体" w:eastAsia="黑体" w:cs="黑体"/>
              <w:bCs/>
              <w:sz w:val="28"/>
              <w:szCs w:val="28"/>
              <w:lang w:eastAsia="zh-CN"/>
            </w:rPr>
            <w:t>7</w:t>
          </w:r>
          <w:r>
            <w:rPr>
              <w:rFonts w:hint="eastAsia" w:ascii="黑体" w:hAnsi="黑体" w:eastAsia="黑体" w:cs="黑体"/>
              <w:bCs/>
              <w:sz w:val="28"/>
              <w:szCs w:val="28"/>
            </w:rPr>
            <w:t xml:space="preserve"> 附件</w:t>
          </w:r>
          <w:r>
            <w:rPr>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_Toc21391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27</w:t>
          </w:r>
          <w:r>
            <w:rPr>
              <w:rFonts w:hint="eastAsia" w:ascii="楷体_GB2312" w:hAnsi="楷体_GB2312" w:eastAsia="楷体_GB2312" w:cs="楷体_GB2312"/>
              <w:sz w:val="28"/>
              <w:szCs w:val="28"/>
            </w:rPr>
            <w:fldChar w:fldCharType="end"/>
          </w:r>
          <w:r>
            <w:rPr>
              <w:rFonts w:hint="eastAsia" w:ascii="黑体" w:hAnsi="黑体" w:eastAsia="黑体" w:cs="黑体"/>
              <w:bCs/>
              <w:sz w:val="28"/>
              <w:szCs w:val="28"/>
              <w:lang w:val="en-US" w:eastAsia="zh-CN"/>
            </w:rPr>
            <w:fldChar w:fldCharType="end"/>
          </w:r>
        </w:p>
        <w:p>
          <w:pPr>
            <w:pStyle w:val="7"/>
            <w:tabs>
              <w:tab w:val="right" w:leader="dot" w:pos="8306"/>
            </w:tabs>
            <w:rPr>
              <w:rFonts w:hint="eastAsia" w:ascii="楷体_GB2312" w:hAnsi="楷体" w:eastAsia="楷体_GB2312" w:cs="Times New Roman"/>
              <w:bCs/>
              <w:kern w:val="32"/>
              <w:sz w:val="28"/>
              <w:szCs w:val="28"/>
              <w:highlight w:val="none"/>
            </w:rPr>
          </w:pPr>
          <w:r>
            <w:rPr>
              <w:rFonts w:hint="eastAsia" w:ascii="楷体_GB2312" w:hAnsi="楷体" w:eastAsia="楷体_GB2312" w:cs="Times New Roman"/>
              <w:bCs/>
              <w:kern w:val="32"/>
              <w:sz w:val="28"/>
              <w:szCs w:val="28"/>
              <w:highlight w:val="none"/>
              <w:lang w:val="en-US" w:eastAsia="zh-CN"/>
            </w:rPr>
            <w:fldChar w:fldCharType="begin"/>
          </w:r>
          <w:r>
            <w:rPr>
              <w:rFonts w:hint="eastAsia" w:ascii="楷体_GB2312" w:hAnsi="楷体" w:eastAsia="楷体_GB2312" w:cs="Times New Roman"/>
              <w:bCs/>
              <w:kern w:val="32"/>
              <w:sz w:val="28"/>
              <w:szCs w:val="28"/>
              <w:highlight w:val="none"/>
              <w:lang w:val="en-US" w:eastAsia="zh-CN"/>
            </w:rPr>
            <w:instrText xml:space="preserve"> HYPERLINK \l _Toc2540 </w:instrText>
          </w:r>
          <w:r>
            <w:rPr>
              <w:rFonts w:hint="eastAsia" w:ascii="楷体_GB2312" w:hAnsi="楷体" w:eastAsia="楷体_GB2312" w:cs="Times New Roman"/>
              <w:bCs/>
              <w:kern w:val="32"/>
              <w:sz w:val="28"/>
              <w:szCs w:val="28"/>
              <w:highlight w:val="none"/>
              <w:lang w:val="en-US" w:eastAsia="zh-CN"/>
            </w:rPr>
            <w:fldChar w:fldCharType="separate"/>
          </w:r>
          <w:r>
            <w:rPr>
              <w:rFonts w:hint="eastAsia" w:ascii="楷体_GB2312" w:hAnsi="楷体" w:eastAsia="楷体_GB2312" w:cs="Times New Roman"/>
              <w:bCs/>
              <w:kern w:val="32"/>
              <w:sz w:val="28"/>
              <w:szCs w:val="28"/>
              <w:highlight w:val="none"/>
            </w:rPr>
            <w:t>附件1：辐射事故初始报告表</w:t>
          </w:r>
          <w:r>
            <w:rPr>
              <w:rFonts w:hint="eastAsia" w:ascii="楷体_GB2312" w:hAnsi="楷体" w:eastAsia="楷体_GB2312" w:cs="Times New Roman"/>
              <w:bCs/>
              <w:kern w:val="32"/>
              <w:sz w:val="28"/>
              <w:szCs w:val="28"/>
              <w:highlight w:val="none"/>
            </w:rPr>
            <w:tab/>
          </w:r>
          <w:r>
            <w:rPr>
              <w:rFonts w:hint="eastAsia" w:ascii="楷体_GB2312" w:hAnsi="楷体_GB2312" w:eastAsia="楷体_GB2312" w:cs="楷体_GB2312"/>
              <w:bCs/>
              <w:kern w:val="32"/>
              <w:sz w:val="28"/>
              <w:szCs w:val="28"/>
              <w:highlight w:val="none"/>
            </w:rPr>
            <w:fldChar w:fldCharType="begin"/>
          </w:r>
          <w:r>
            <w:rPr>
              <w:rFonts w:hint="eastAsia" w:ascii="楷体_GB2312" w:hAnsi="楷体_GB2312" w:eastAsia="楷体_GB2312" w:cs="楷体_GB2312"/>
              <w:bCs/>
              <w:kern w:val="32"/>
              <w:sz w:val="28"/>
              <w:szCs w:val="28"/>
              <w:highlight w:val="none"/>
            </w:rPr>
            <w:instrText xml:space="preserve"> PAGEREF _Toc2540 \h </w:instrText>
          </w:r>
          <w:r>
            <w:rPr>
              <w:rFonts w:hint="eastAsia" w:ascii="楷体_GB2312" w:hAnsi="楷体_GB2312" w:eastAsia="楷体_GB2312" w:cs="楷体_GB2312"/>
              <w:bCs/>
              <w:kern w:val="32"/>
              <w:sz w:val="28"/>
              <w:szCs w:val="28"/>
              <w:highlight w:val="none"/>
            </w:rPr>
            <w:fldChar w:fldCharType="separate"/>
          </w:r>
          <w:r>
            <w:rPr>
              <w:rFonts w:hint="eastAsia" w:ascii="楷体_GB2312" w:hAnsi="楷体_GB2312" w:eastAsia="楷体_GB2312" w:cs="楷体_GB2312"/>
              <w:bCs/>
              <w:kern w:val="32"/>
              <w:sz w:val="28"/>
              <w:szCs w:val="28"/>
              <w:highlight w:val="none"/>
            </w:rPr>
            <w:t>28</w:t>
          </w:r>
          <w:r>
            <w:rPr>
              <w:rFonts w:hint="eastAsia" w:ascii="楷体_GB2312" w:hAnsi="楷体_GB2312" w:eastAsia="楷体_GB2312" w:cs="楷体_GB2312"/>
              <w:bCs/>
              <w:kern w:val="32"/>
              <w:sz w:val="28"/>
              <w:szCs w:val="28"/>
              <w:highlight w:val="none"/>
            </w:rPr>
            <w:fldChar w:fldCharType="end"/>
          </w:r>
          <w:r>
            <w:rPr>
              <w:rFonts w:hint="eastAsia" w:ascii="楷体_GB2312" w:hAnsi="楷体" w:eastAsia="楷体_GB2312" w:cs="Times New Roman"/>
              <w:bCs/>
              <w:kern w:val="32"/>
              <w:sz w:val="28"/>
              <w:szCs w:val="28"/>
              <w:highlight w:val="none"/>
              <w:lang w:val="en-US" w:eastAsia="zh-CN"/>
            </w:rPr>
            <w:fldChar w:fldCharType="end"/>
          </w:r>
        </w:p>
        <w:p>
          <w:pPr>
            <w:pStyle w:val="7"/>
            <w:tabs>
              <w:tab w:val="right" w:leader="dot" w:pos="8306"/>
            </w:tabs>
            <w:rPr>
              <w:rFonts w:hint="eastAsia" w:ascii="楷体_GB2312" w:hAnsi="楷体" w:eastAsia="楷体_GB2312" w:cs="Times New Roman"/>
              <w:bCs/>
              <w:kern w:val="32"/>
              <w:sz w:val="28"/>
              <w:szCs w:val="28"/>
              <w:highlight w:val="none"/>
            </w:rPr>
          </w:pPr>
          <w:r>
            <w:rPr>
              <w:rFonts w:hint="eastAsia" w:ascii="楷体_GB2312" w:hAnsi="楷体" w:eastAsia="楷体_GB2312" w:cs="Times New Roman"/>
              <w:bCs/>
              <w:kern w:val="32"/>
              <w:sz w:val="28"/>
              <w:szCs w:val="28"/>
              <w:highlight w:val="none"/>
              <w:lang w:val="en-US" w:eastAsia="zh-CN"/>
            </w:rPr>
            <w:fldChar w:fldCharType="begin"/>
          </w:r>
          <w:r>
            <w:rPr>
              <w:rFonts w:hint="eastAsia" w:ascii="楷体_GB2312" w:hAnsi="楷体" w:eastAsia="楷体_GB2312" w:cs="Times New Roman"/>
              <w:bCs/>
              <w:kern w:val="32"/>
              <w:sz w:val="28"/>
              <w:szCs w:val="28"/>
              <w:highlight w:val="none"/>
              <w:lang w:val="en-US" w:eastAsia="zh-CN"/>
            </w:rPr>
            <w:instrText xml:space="preserve"> HYPERLINK \l _Toc12587 </w:instrText>
          </w:r>
          <w:r>
            <w:rPr>
              <w:rFonts w:hint="eastAsia" w:ascii="楷体_GB2312" w:hAnsi="楷体" w:eastAsia="楷体_GB2312" w:cs="Times New Roman"/>
              <w:bCs/>
              <w:kern w:val="32"/>
              <w:sz w:val="28"/>
              <w:szCs w:val="28"/>
              <w:highlight w:val="none"/>
              <w:lang w:val="en-US" w:eastAsia="zh-CN"/>
            </w:rPr>
            <w:fldChar w:fldCharType="separate"/>
          </w:r>
          <w:r>
            <w:rPr>
              <w:rFonts w:hint="eastAsia" w:ascii="楷体_GB2312" w:hAnsi="楷体" w:eastAsia="楷体_GB2312" w:cs="Times New Roman"/>
              <w:bCs/>
              <w:kern w:val="32"/>
              <w:sz w:val="28"/>
              <w:szCs w:val="28"/>
              <w:highlight w:val="none"/>
            </w:rPr>
            <w:t>附件2：辐射事故后续报告表</w:t>
          </w:r>
          <w:r>
            <w:rPr>
              <w:rFonts w:hint="eastAsia" w:ascii="楷体_GB2312" w:hAnsi="楷体" w:eastAsia="楷体_GB2312" w:cs="Times New Roman"/>
              <w:bCs/>
              <w:kern w:val="32"/>
              <w:sz w:val="28"/>
              <w:szCs w:val="28"/>
              <w:highlight w:val="none"/>
            </w:rPr>
            <w:tab/>
          </w:r>
          <w:r>
            <w:rPr>
              <w:rFonts w:hint="eastAsia" w:ascii="楷体_GB2312" w:hAnsi="楷体_GB2312" w:eastAsia="楷体_GB2312" w:cs="楷体_GB2312"/>
              <w:bCs/>
              <w:kern w:val="32"/>
              <w:sz w:val="28"/>
              <w:szCs w:val="28"/>
              <w:highlight w:val="none"/>
            </w:rPr>
            <w:fldChar w:fldCharType="begin"/>
          </w:r>
          <w:r>
            <w:rPr>
              <w:rFonts w:hint="eastAsia" w:ascii="楷体_GB2312" w:hAnsi="楷体_GB2312" w:eastAsia="楷体_GB2312" w:cs="楷体_GB2312"/>
              <w:bCs/>
              <w:kern w:val="32"/>
              <w:sz w:val="28"/>
              <w:szCs w:val="28"/>
              <w:highlight w:val="none"/>
            </w:rPr>
            <w:instrText xml:space="preserve"> PAGEREF _Toc12587 \h </w:instrText>
          </w:r>
          <w:r>
            <w:rPr>
              <w:rFonts w:hint="eastAsia" w:ascii="楷体_GB2312" w:hAnsi="楷体_GB2312" w:eastAsia="楷体_GB2312" w:cs="楷体_GB2312"/>
              <w:bCs/>
              <w:kern w:val="32"/>
              <w:sz w:val="28"/>
              <w:szCs w:val="28"/>
              <w:highlight w:val="none"/>
            </w:rPr>
            <w:fldChar w:fldCharType="separate"/>
          </w:r>
          <w:r>
            <w:rPr>
              <w:rFonts w:hint="eastAsia" w:ascii="楷体_GB2312" w:hAnsi="楷体_GB2312" w:eastAsia="楷体_GB2312" w:cs="楷体_GB2312"/>
              <w:bCs/>
              <w:kern w:val="32"/>
              <w:sz w:val="28"/>
              <w:szCs w:val="28"/>
              <w:highlight w:val="none"/>
            </w:rPr>
            <w:t>29</w:t>
          </w:r>
          <w:r>
            <w:rPr>
              <w:rFonts w:hint="eastAsia" w:ascii="楷体_GB2312" w:hAnsi="楷体_GB2312" w:eastAsia="楷体_GB2312" w:cs="楷体_GB2312"/>
              <w:bCs/>
              <w:kern w:val="32"/>
              <w:sz w:val="28"/>
              <w:szCs w:val="28"/>
              <w:highlight w:val="none"/>
            </w:rPr>
            <w:fldChar w:fldCharType="end"/>
          </w:r>
          <w:r>
            <w:rPr>
              <w:rFonts w:hint="eastAsia" w:ascii="楷体_GB2312" w:hAnsi="楷体" w:eastAsia="楷体_GB2312" w:cs="Times New Roman"/>
              <w:bCs/>
              <w:kern w:val="32"/>
              <w:sz w:val="28"/>
              <w:szCs w:val="28"/>
              <w:highlight w:val="none"/>
              <w:lang w:val="en-US" w:eastAsia="zh-CN"/>
            </w:rPr>
            <w:fldChar w:fldCharType="end"/>
          </w:r>
        </w:p>
        <w:p>
          <w:pPr>
            <w:pStyle w:val="7"/>
            <w:tabs>
              <w:tab w:val="right" w:leader="dot" w:pos="8306"/>
            </w:tabs>
            <w:rPr>
              <w:rFonts w:hint="eastAsia" w:ascii="楷体_GB2312" w:hAnsi="楷体" w:eastAsia="楷体_GB2312" w:cs="Times New Roman"/>
              <w:bCs/>
              <w:kern w:val="32"/>
              <w:sz w:val="28"/>
              <w:szCs w:val="28"/>
              <w:highlight w:val="none"/>
            </w:rPr>
          </w:pPr>
          <w:r>
            <w:rPr>
              <w:rFonts w:hint="eastAsia" w:ascii="楷体_GB2312" w:hAnsi="楷体" w:eastAsia="楷体_GB2312" w:cs="Times New Roman"/>
              <w:bCs/>
              <w:kern w:val="32"/>
              <w:sz w:val="28"/>
              <w:szCs w:val="28"/>
              <w:highlight w:val="none"/>
              <w:lang w:val="en-US" w:eastAsia="zh-CN"/>
            </w:rPr>
            <w:fldChar w:fldCharType="begin"/>
          </w:r>
          <w:r>
            <w:rPr>
              <w:rFonts w:hint="eastAsia" w:ascii="楷体_GB2312" w:hAnsi="楷体" w:eastAsia="楷体_GB2312" w:cs="Times New Roman"/>
              <w:bCs/>
              <w:kern w:val="32"/>
              <w:sz w:val="28"/>
              <w:szCs w:val="28"/>
              <w:highlight w:val="none"/>
              <w:lang w:val="en-US" w:eastAsia="zh-CN"/>
            </w:rPr>
            <w:instrText xml:space="preserve"> HYPERLINK \l _Toc4059 </w:instrText>
          </w:r>
          <w:r>
            <w:rPr>
              <w:rFonts w:hint="eastAsia" w:ascii="楷体_GB2312" w:hAnsi="楷体" w:eastAsia="楷体_GB2312" w:cs="Times New Roman"/>
              <w:bCs/>
              <w:kern w:val="32"/>
              <w:sz w:val="28"/>
              <w:szCs w:val="28"/>
              <w:highlight w:val="none"/>
              <w:lang w:val="en-US" w:eastAsia="zh-CN"/>
            </w:rPr>
            <w:fldChar w:fldCharType="separate"/>
          </w:r>
          <w:r>
            <w:rPr>
              <w:rFonts w:hint="eastAsia" w:ascii="楷体_GB2312" w:hAnsi="楷体" w:eastAsia="楷体_GB2312" w:cs="Times New Roman"/>
              <w:bCs/>
              <w:kern w:val="32"/>
              <w:sz w:val="28"/>
              <w:szCs w:val="28"/>
              <w:highlight w:val="none"/>
            </w:rPr>
            <w:t>附件3：辐射事故总结报告</w:t>
          </w:r>
          <w:r>
            <w:rPr>
              <w:rFonts w:hint="eastAsia" w:ascii="楷体_GB2312" w:hAnsi="楷体" w:eastAsia="楷体_GB2312" w:cs="Times New Roman"/>
              <w:bCs/>
              <w:kern w:val="32"/>
              <w:sz w:val="28"/>
              <w:szCs w:val="28"/>
              <w:highlight w:val="none"/>
            </w:rPr>
            <w:tab/>
          </w:r>
          <w:r>
            <w:rPr>
              <w:rFonts w:hint="eastAsia" w:ascii="楷体_GB2312" w:hAnsi="楷体_GB2312" w:eastAsia="楷体_GB2312" w:cs="楷体_GB2312"/>
              <w:bCs/>
              <w:kern w:val="32"/>
              <w:sz w:val="28"/>
              <w:szCs w:val="28"/>
              <w:highlight w:val="none"/>
            </w:rPr>
            <w:fldChar w:fldCharType="begin"/>
          </w:r>
          <w:r>
            <w:rPr>
              <w:rFonts w:hint="eastAsia" w:ascii="楷体_GB2312" w:hAnsi="楷体_GB2312" w:eastAsia="楷体_GB2312" w:cs="楷体_GB2312"/>
              <w:bCs/>
              <w:kern w:val="32"/>
              <w:sz w:val="28"/>
              <w:szCs w:val="28"/>
              <w:highlight w:val="none"/>
            </w:rPr>
            <w:instrText xml:space="preserve"> PAGEREF _Toc4059 \h </w:instrText>
          </w:r>
          <w:r>
            <w:rPr>
              <w:rFonts w:hint="eastAsia" w:ascii="楷体_GB2312" w:hAnsi="楷体_GB2312" w:eastAsia="楷体_GB2312" w:cs="楷体_GB2312"/>
              <w:bCs/>
              <w:kern w:val="32"/>
              <w:sz w:val="28"/>
              <w:szCs w:val="28"/>
              <w:highlight w:val="none"/>
            </w:rPr>
            <w:fldChar w:fldCharType="separate"/>
          </w:r>
          <w:r>
            <w:rPr>
              <w:rFonts w:hint="eastAsia" w:ascii="楷体_GB2312" w:hAnsi="楷体_GB2312" w:eastAsia="楷体_GB2312" w:cs="楷体_GB2312"/>
              <w:bCs/>
              <w:kern w:val="32"/>
              <w:sz w:val="28"/>
              <w:szCs w:val="28"/>
              <w:highlight w:val="none"/>
            </w:rPr>
            <w:t>30</w:t>
          </w:r>
          <w:r>
            <w:rPr>
              <w:rFonts w:hint="eastAsia" w:ascii="楷体_GB2312" w:hAnsi="楷体_GB2312" w:eastAsia="楷体_GB2312" w:cs="楷体_GB2312"/>
              <w:bCs/>
              <w:kern w:val="32"/>
              <w:sz w:val="28"/>
              <w:szCs w:val="28"/>
              <w:highlight w:val="none"/>
            </w:rPr>
            <w:fldChar w:fldCharType="end"/>
          </w:r>
          <w:r>
            <w:rPr>
              <w:rFonts w:hint="eastAsia" w:ascii="楷体_GB2312" w:hAnsi="楷体" w:eastAsia="楷体_GB2312" w:cs="Times New Roman"/>
              <w:bCs/>
              <w:kern w:val="32"/>
              <w:sz w:val="28"/>
              <w:szCs w:val="28"/>
              <w:highlight w:val="none"/>
              <w:lang w:val="en-US" w:eastAsia="zh-CN"/>
            </w:rPr>
            <w:fldChar w:fldCharType="end"/>
          </w:r>
        </w:p>
        <w:p>
          <w:pPr>
            <w:pStyle w:val="7"/>
            <w:tabs>
              <w:tab w:val="right" w:leader="dot" w:pos="8306"/>
            </w:tabs>
            <w:rPr>
              <w:rFonts w:hint="eastAsia" w:ascii="楷体_GB2312" w:hAnsi="楷体" w:eastAsia="楷体_GB2312" w:cs="Times New Roman"/>
              <w:bCs/>
              <w:kern w:val="32"/>
              <w:sz w:val="28"/>
              <w:szCs w:val="28"/>
              <w:highlight w:val="none"/>
            </w:rPr>
          </w:pPr>
          <w:r>
            <w:rPr>
              <w:rFonts w:hint="eastAsia" w:ascii="楷体_GB2312" w:hAnsi="楷体" w:eastAsia="楷体_GB2312" w:cs="Times New Roman"/>
              <w:bCs/>
              <w:kern w:val="32"/>
              <w:sz w:val="28"/>
              <w:szCs w:val="28"/>
              <w:highlight w:val="none"/>
              <w:lang w:val="en-US" w:eastAsia="zh-CN"/>
            </w:rPr>
            <w:fldChar w:fldCharType="begin"/>
          </w:r>
          <w:r>
            <w:rPr>
              <w:rFonts w:hint="eastAsia" w:ascii="楷体_GB2312" w:hAnsi="楷体" w:eastAsia="楷体_GB2312" w:cs="Times New Roman"/>
              <w:bCs/>
              <w:kern w:val="32"/>
              <w:sz w:val="28"/>
              <w:szCs w:val="28"/>
              <w:highlight w:val="none"/>
              <w:lang w:val="en-US" w:eastAsia="zh-CN"/>
            </w:rPr>
            <w:instrText xml:space="preserve"> HYPERLINK \l _Toc3257 </w:instrText>
          </w:r>
          <w:r>
            <w:rPr>
              <w:rFonts w:hint="eastAsia" w:ascii="楷体_GB2312" w:hAnsi="楷体" w:eastAsia="楷体_GB2312" w:cs="Times New Roman"/>
              <w:bCs/>
              <w:kern w:val="32"/>
              <w:sz w:val="28"/>
              <w:szCs w:val="28"/>
              <w:highlight w:val="none"/>
              <w:lang w:val="en-US" w:eastAsia="zh-CN"/>
            </w:rPr>
            <w:fldChar w:fldCharType="separate"/>
          </w:r>
          <w:r>
            <w:rPr>
              <w:rFonts w:hint="eastAsia" w:ascii="楷体_GB2312" w:hAnsi="楷体" w:eastAsia="楷体_GB2312" w:cs="Times New Roman"/>
              <w:bCs/>
              <w:kern w:val="32"/>
              <w:sz w:val="28"/>
              <w:szCs w:val="28"/>
              <w:highlight w:val="none"/>
              <w:lang w:val="en-US" w:eastAsia="zh-CN"/>
            </w:rPr>
            <w:t>附件4：深圳市辐射事故应急处置流程图</w:t>
          </w:r>
          <w:r>
            <w:rPr>
              <w:rFonts w:hint="eastAsia" w:ascii="楷体_GB2312" w:hAnsi="楷体" w:eastAsia="楷体_GB2312" w:cs="Times New Roman"/>
              <w:bCs/>
              <w:kern w:val="32"/>
              <w:sz w:val="28"/>
              <w:szCs w:val="28"/>
              <w:highlight w:val="none"/>
            </w:rPr>
            <w:tab/>
          </w:r>
          <w:r>
            <w:rPr>
              <w:rFonts w:hint="eastAsia" w:ascii="楷体_GB2312" w:hAnsi="楷体" w:eastAsia="楷体_GB2312" w:cs="Times New Roman"/>
              <w:bCs/>
              <w:kern w:val="32"/>
              <w:sz w:val="28"/>
              <w:szCs w:val="28"/>
              <w:highlight w:val="none"/>
            </w:rPr>
            <w:fldChar w:fldCharType="begin"/>
          </w:r>
          <w:r>
            <w:rPr>
              <w:rFonts w:hint="eastAsia" w:ascii="楷体_GB2312" w:hAnsi="楷体" w:eastAsia="楷体_GB2312" w:cs="Times New Roman"/>
              <w:bCs/>
              <w:kern w:val="32"/>
              <w:sz w:val="28"/>
              <w:szCs w:val="28"/>
              <w:highlight w:val="none"/>
            </w:rPr>
            <w:instrText xml:space="preserve"> PAGEREF _Toc3257 \h </w:instrText>
          </w:r>
          <w:r>
            <w:rPr>
              <w:rFonts w:hint="eastAsia" w:ascii="楷体_GB2312" w:hAnsi="楷体" w:eastAsia="楷体_GB2312" w:cs="Times New Roman"/>
              <w:bCs/>
              <w:kern w:val="32"/>
              <w:sz w:val="28"/>
              <w:szCs w:val="28"/>
              <w:highlight w:val="none"/>
            </w:rPr>
            <w:fldChar w:fldCharType="separate"/>
          </w:r>
          <w:r>
            <w:rPr>
              <w:rFonts w:hint="eastAsia" w:ascii="楷体_GB2312" w:hAnsi="楷体" w:eastAsia="楷体_GB2312" w:cs="Times New Roman"/>
              <w:bCs/>
              <w:kern w:val="32"/>
              <w:sz w:val="28"/>
              <w:szCs w:val="28"/>
              <w:highlight w:val="none"/>
            </w:rPr>
            <w:t>32</w:t>
          </w:r>
          <w:r>
            <w:rPr>
              <w:rFonts w:hint="eastAsia" w:ascii="楷体_GB2312" w:hAnsi="楷体" w:eastAsia="楷体_GB2312" w:cs="Times New Roman"/>
              <w:bCs/>
              <w:kern w:val="32"/>
              <w:sz w:val="28"/>
              <w:szCs w:val="28"/>
              <w:highlight w:val="none"/>
            </w:rPr>
            <w:fldChar w:fldCharType="end"/>
          </w:r>
          <w:r>
            <w:rPr>
              <w:rFonts w:hint="eastAsia" w:ascii="楷体_GB2312" w:hAnsi="楷体" w:eastAsia="楷体_GB2312" w:cs="Times New Roman"/>
              <w:bCs/>
              <w:kern w:val="32"/>
              <w:sz w:val="28"/>
              <w:szCs w:val="28"/>
              <w:highlight w:val="none"/>
              <w:lang w:val="en-US" w:eastAsia="zh-CN"/>
            </w:rPr>
            <w:fldChar w:fldCharType="end"/>
          </w:r>
        </w:p>
        <w:p>
          <w:pPr>
            <w:rPr>
              <w:rFonts w:hint="eastAsia" w:ascii="黑体" w:hAnsi="黑体" w:eastAsia="黑体" w:cs="黑体"/>
              <w:b/>
              <w:bCs/>
              <w:kern w:val="2"/>
              <w:sz w:val="21"/>
              <w:szCs w:val="32"/>
              <w:lang w:val="en-US" w:eastAsia="zh-CN" w:bidi="ar-SA"/>
            </w:rPr>
          </w:pPr>
          <w:r>
            <w:rPr>
              <w:rFonts w:hint="eastAsia" w:ascii="黑体" w:hAnsi="黑体" w:eastAsia="黑体" w:cs="黑体"/>
              <w:bCs/>
              <w:szCs w:val="32"/>
              <w:lang w:val="en-US" w:eastAsia="zh-CN"/>
            </w:rPr>
            <w:fldChar w:fldCharType="end"/>
          </w:r>
        </w:p>
      </w:sdtContent>
    </w:sdt>
    <w:p>
      <w:pPr>
        <w:rPr>
          <w:rFonts w:hint="eastAsia" w:ascii="黑体" w:hAnsi="黑体" w:eastAsia="黑体" w:cs="黑体"/>
          <w:b/>
          <w:bCs/>
          <w:szCs w:val="32"/>
          <w:lang w:val="en-US" w:eastAsia="zh-CN"/>
        </w:rPr>
      </w:pPr>
    </w:p>
    <w:p>
      <w:pPr>
        <w:rPr>
          <w:rFonts w:hint="eastAsia" w:ascii="方正小标宋简体" w:hAnsi="方正小标宋简体" w:eastAsia="方正小标宋简体" w:cs="方正小标宋简体"/>
          <w:b w:val="0"/>
          <w:bCs/>
          <w:sz w:val="44"/>
          <w:szCs w:val="44"/>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sectPr>
          <w:footerReference r:id="rId3"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b/>
          <w:sz w:val="32"/>
          <w:szCs w:val="32"/>
        </w:rPr>
      </w:pPr>
      <w:bookmarkStart w:id="4" w:name="_Toc4351"/>
      <w:r>
        <w:rPr>
          <w:rFonts w:hint="eastAsia" w:ascii="方正小标宋简体" w:hAnsi="方正小标宋简体" w:eastAsia="方正小标宋简体" w:cs="方正小标宋简体"/>
          <w:b w:val="0"/>
          <w:bCs/>
          <w:sz w:val="44"/>
          <w:szCs w:val="44"/>
        </w:rPr>
        <w:t>深圳市辐射事故应急预案</w:t>
      </w:r>
      <w:bookmarkEnd w:id="4"/>
    </w:p>
    <w:bookmarkEnd w:id="0"/>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rPr>
      </w:pPr>
      <w:bookmarkStart w:id="5" w:name="_Toc30563"/>
      <w:bookmarkStart w:id="6" w:name="_Toc15155"/>
      <w:bookmarkStart w:id="7" w:name="_Toc11067"/>
      <w:bookmarkStart w:id="8" w:name="_Toc12378"/>
      <w:bookmarkStart w:id="9" w:name="_Toc15684"/>
      <w:r>
        <w:rPr>
          <w:rFonts w:hint="eastAsia" w:ascii="黑体" w:hAnsi="黑体" w:eastAsia="黑体" w:cs="黑体"/>
          <w:b w:val="0"/>
          <w:bCs/>
          <w:sz w:val="32"/>
          <w:szCs w:val="32"/>
        </w:rPr>
        <w:t>1 总则</w:t>
      </w:r>
      <w:bookmarkEnd w:id="1"/>
      <w:bookmarkEnd w:id="2"/>
      <w:bookmarkEnd w:id="5"/>
      <w:bookmarkEnd w:id="6"/>
      <w:bookmarkEnd w:id="7"/>
      <w:bookmarkEnd w:id="8"/>
      <w:bookmarkEnd w:id="9"/>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10" w:name="_Toc117777739"/>
      <w:bookmarkStart w:id="11" w:name="_Toc6016"/>
      <w:bookmarkStart w:id="12" w:name="_Toc15284"/>
      <w:bookmarkStart w:id="13" w:name="_Toc4124"/>
      <w:bookmarkStart w:id="14" w:name="_Toc5091"/>
      <w:bookmarkStart w:id="15" w:name="_Toc1730909234"/>
      <w:bookmarkStart w:id="16" w:name="_Toc15751"/>
      <w:r>
        <w:rPr>
          <w:rFonts w:hint="eastAsia" w:ascii="楷体_GB2312" w:hAnsi="楷体" w:eastAsia="楷体_GB2312" w:cs="Times New Roman"/>
          <w:b w:val="0"/>
          <w:bCs/>
          <w:color w:val="auto"/>
          <w:kern w:val="32"/>
          <w:sz w:val="32"/>
          <w:szCs w:val="28"/>
          <w:highlight w:val="none"/>
          <w:u w:val="none"/>
          <w:lang w:val="zh-CN"/>
        </w:rPr>
        <w:t>1.1 编制目的</w:t>
      </w:r>
      <w:bookmarkEnd w:id="10"/>
      <w:bookmarkEnd w:id="11"/>
      <w:bookmarkEnd w:id="12"/>
      <w:bookmarkEnd w:id="13"/>
      <w:bookmarkEnd w:id="14"/>
      <w:bookmarkEnd w:id="15"/>
      <w:bookmarkEnd w:id="16"/>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为提高我市应对辐射事故的处置能力，规范、科学、高效地做好辐射事故应急准备与响应工作，保护公众和从业人员的安全健康，保障辐射环境安全，维护社会稳定，制定本预案。</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17" w:name="_Toc117777740"/>
      <w:bookmarkStart w:id="18" w:name="_Toc26013"/>
      <w:bookmarkStart w:id="19" w:name="_Toc26778"/>
      <w:bookmarkStart w:id="20" w:name="_Toc3040"/>
      <w:bookmarkStart w:id="21" w:name="_Toc839109704"/>
      <w:bookmarkStart w:id="22" w:name="_Toc25822"/>
      <w:bookmarkStart w:id="23" w:name="_Toc16546"/>
      <w:r>
        <w:rPr>
          <w:rFonts w:hint="eastAsia" w:ascii="楷体_GB2312" w:hAnsi="楷体" w:eastAsia="楷体_GB2312" w:cs="Times New Roman"/>
          <w:b w:val="0"/>
          <w:bCs/>
          <w:color w:val="auto"/>
          <w:kern w:val="32"/>
          <w:sz w:val="32"/>
          <w:szCs w:val="28"/>
          <w:highlight w:val="none"/>
          <w:u w:val="none"/>
          <w:lang w:val="zh-CN"/>
        </w:rPr>
        <w:t>1.2 编制依据</w:t>
      </w:r>
      <w:bookmarkEnd w:id="17"/>
      <w:bookmarkEnd w:id="18"/>
      <w:bookmarkEnd w:id="19"/>
      <w:bookmarkEnd w:id="20"/>
      <w:bookmarkEnd w:id="21"/>
      <w:bookmarkEnd w:id="22"/>
      <w:bookmarkEnd w:id="2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主要编制依据包括：《中华人民共和国环境保护法》《中华人民共和国突发事件应对法》《中华人民共和国放射性污染防治法》《放射性同位素与射线装置安全和防护条例》《放射性物品运输安全管理条例》《放射性废物安全管理条例》《放射性同位素与射线装置安全和防护管理办法》《放射性同位素与射线装置安全许可管理办法》《深圳经济特区生态环境保护条例》《国家突发环境事件应急预案》《广东省突发环境事件应急预案》《生态环境部（国家核安全局）辐射事故应急预案》《广东省生态环境厅辐射事故应急预案》《深圳市突发事件总体应急预案》和《深圳市突发事件应急预案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以上文件以最新版本为准</w:t>
      </w:r>
      <w:r>
        <w:rPr>
          <w:rFonts w:hint="eastAsia" w:ascii="仿宋_GB2312" w:hAnsi="仿宋_GB2312" w:eastAsia="仿宋_GB2312" w:cs="仿宋_GB2312"/>
          <w:sz w:val="32"/>
          <w:szCs w:val="32"/>
        </w:rPr>
        <w:t>。</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24" w:name="_Toc1689672877"/>
      <w:bookmarkStart w:id="25" w:name="_Toc4984"/>
      <w:bookmarkStart w:id="26" w:name="_Toc10929"/>
      <w:bookmarkStart w:id="27" w:name="_Toc30832"/>
      <w:bookmarkStart w:id="28" w:name="_Toc117777741"/>
      <w:bookmarkStart w:id="29" w:name="_Toc17048"/>
      <w:bookmarkStart w:id="30" w:name="_Toc17856"/>
      <w:r>
        <w:rPr>
          <w:rFonts w:hint="eastAsia" w:ascii="楷体_GB2312" w:hAnsi="楷体" w:eastAsia="楷体_GB2312" w:cs="Times New Roman"/>
          <w:b w:val="0"/>
          <w:bCs/>
          <w:color w:val="auto"/>
          <w:kern w:val="32"/>
          <w:sz w:val="32"/>
          <w:szCs w:val="28"/>
          <w:highlight w:val="none"/>
          <w:u w:val="none"/>
          <w:lang w:val="zh-CN"/>
        </w:rPr>
        <w:t>1.3 应急原则</w:t>
      </w:r>
      <w:bookmarkEnd w:id="24"/>
      <w:bookmarkEnd w:id="25"/>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坚持人民至上、生命至上；坚持党委领导、统分结合；坚持底线思维、风险防控；坚持分级负责、属地为主；坚持部门联动、分工负责；坚持依法管理、专业支撑；坚持信息公开、规范透明。</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31" w:name="_Toc15262"/>
      <w:bookmarkStart w:id="32" w:name="_Toc4569"/>
      <w:bookmarkStart w:id="33" w:name="_Toc117777742"/>
      <w:bookmarkStart w:id="34" w:name="_Toc25306"/>
      <w:bookmarkStart w:id="35" w:name="_Toc85"/>
      <w:bookmarkStart w:id="36" w:name="_Toc5081"/>
      <w:bookmarkStart w:id="37" w:name="_Toc1947913741"/>
      <w:r>
        <w:rPr>
          <w:rFonts w:hint="eastAsia" w:ascii="楷体_GB2312" w:hAnsi="楷体" w:eastAsia="楷体_GB2312" w:cs="Times New Roman"/>
          <w:b w:val="0"/>
          <w:bCs/>
          <w:color w:val="auto"/>
          <w:kern w:val="32"/>
          <w:sz w:val="32"/>
          <w:szCs w:val="28"/>
          <w:highlight w:val="none"/>
          <w:u w:val="none"/>
          <w:lang w:val="zh-CN"/>
        </w:rPr>
        <w:t>1.4 适用范围</w:t>
      </w:r>
      <w:bookmarkEnd w:id="31"/>
      <w:bookmarkEnd w:id="32"/>
      <w:bookmarkEnd w:id="33"/>
      <w:bookmarkEnd w:id="34"/>
      <w:bookmarkEnd w:id="35"/>
      <w:bookmarkEnd w:id="36"/>
      <w:bookmarkEnd w:id="3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38" w:name="_Hlk104628216"/>
      <w:r>
        <w:rPr>
          <w:rFonts w:hint="eastAsia" w:ascii="仿宋_GB2312" w:hAnsi="仿宋_GB2312" w:eastAsia="仿宋_GB2312" w:cs="仿宋_GB2312"/>
          <w:sz w:val="32"/>
          <w:szCs w:val="32"/>
        </w:rPr>
        <w:t>本预案适用于深圳市管辖区域内下列设施或活动的放射源丢失、被盗、失控，或者放射性物质和射线装置造成人员受到意外的异常照射，或者造成环境放射性污染的应急响应。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（1）核技术利用；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（2）放射性物品运输；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（3）放射性废物的处理、贮存和处置。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国内外航天器在我市境内坠落造成的环境放射性污染事件、微型反应堆发生事故、境外核与辐射事故等可能对我市环境造成辐射影响的应对，参照本预案执行。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深圳市辖区内发现无主或未经许可的放射性物品，未造成人员受到异常照射或环境放射性污染的，参照本预案上报信息，但不以辐射事故论。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本市核技术利用单位在非本市辖区从事辐射工作发生辐射事故的参照本预案上报信息。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32"/>
          <w:sz w:val="32"/>
          <w:szCs w:val="32"/>
          <w:lang w:val="en-US" w:eastAsia="zh-CN" w:bidi="ar-SA"/>
        </w:rPr>
        <w:t>乏</w:t>
      </w:r>
      <w:r>
        <w:rPr>
          <w:rFonts w:hint="eastAsia" w:ascii="仿宋_GB2312" w:hAnsi="仿宋_GB2312" w:eastAsia="仿宋_GB2312" w:cs="仿宋_GB2312"/>
          <w:kern w:val="2"/>
          <w:sz w:val="32"/>
          <w:szCs w:val="32"/>
          <w:lang w:val="en-US" w:eastAsia="zh-CN" w:bidi="ar-SA"/>
        </w:rPr>
        <w:t>燃料运输造成的环境污染事故以及核电站核事故参照《</w:t>
      </w:r>
      <w:bookmarkStart w:id="39" w:name="_Toc2071035464"/>
      <w:r>
        <w:rPr>
          <w:rFonts w:hint="eastAsia" w:ascii="仿宋_GB2312" w:hAnsi="仿宋_GB2312" w:eastAsia="仿宋_GB2312" w:cs="仿宋_GB2312"/>
          <w:kern w:val="2"/>
          <w:sz w:val="32"/>
          <w:szCs w:val="32"/>
          <w:lang w:val="en-US" w:eastAsia="zh-CN" w:bidi="ar-SA"/>
        </w:rPr>
        <w:t>深圳市核电站核事故场外应急预案</w:t>
      </w:r>
      <w:bookmarkEnd w:id="39"/>
      <w:r>
        <w:rPr>
          <w:rFonts w:hint="eastAsia" w:ascii="仿宋_GB2312" w:hAnsi="仿宋_GB2312" w:eastAsia="仿宋_GB2312" w:cs="仿宋_GB2312"/>
          <w:kern w:val="2"/>
          <w:sz w:val="32"/>
          <w:szCs w:val="32"/>
          <w:lang w:val="en-US" w:eastAsia="zh-CN" w:bidi="ar-SA"/>
        </w:rPr>
        <w:t>》的相关规定执行。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因其他突发事件引发辐射事故的，按相应的市级突发事件专项应急预案执行，涉及核与辐射相关专业处置工作的，可以参照本预案执行。</w:t>
      </w:r>
    </w:p>
    <w:bookmarkEnd w:id="38"/>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40" w:name="_Toc27914"/>
      <w:bookmarkStart w:id="41" w:name="_Toc117777743"/>
      <w:bookmarkStart w:id="42" w:name="_Toc551570208"/>
      <w:bookmarkStart w:id="43" w:name="_Toc24173"/>
      <w:bookmarkStart w:id="44" w:name="_Toc5513"/>
      <w:bookmarkStart w:id="45" w:name="_Toc18179"/>
      <w:bookmarkStart w:id="46" w:name="_Toc5809"/>
      <w:r>
        <w:rPr>
          <w:rFonts w:hint="eastAsia" w:ascii="楷体_GB2312" w:hAnsi="楷体" w:eastAsia="楷体_GB2312" w:cs="Times New Roman"/>
          <w:b w:val="0"/>
          <w:bCs/>
          <w:color w:val="auto"/>
          <w:kern w:val="32"/>
          <w:sz w:val="32"/>
          <w:szCs w:val="28"/>
          <w:highlight w:val="none"/>
          <w:u w:val="none"/>
          <w:lang w:val="zh-CN"/>
        </w:rPr>
        <w:t>1.5 辐射事故分级</w:t>
      </w:r>
      <w:bookmarkEnd w:id="40"/>
      <w:bookmarkEnd w:id="41"/>
      <w:bookmarkEnd w:id="42"/>
      <w:bookmarkEnd w:id="43"/>
      <w:bookmarkEnd w:id="44"/>
      <w:bookmarkEnd w:id="45"/>
      <w:bookmarkEnd w:id="4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根据辐射事故的性质、严重程度、可控性和影响范围等因素，将辐射事故分为特别重大辐射事故、重大辐射事故、较大辐射事故和一般辐射事故四个等级。</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sz w:val="32"/>
          <w:szCs w:val="32"/>
        </w:rPr>
      </w:pPr>
      <w:bookmarkStart w:id="47" w:name="_Toc33432725"/>
      <w:bookmarkEnd w:id="47"/>
      <w:bookmarkStart w:id="48" w:name="_Toc33433257"/>
      <w:bookmarkEnd w:id="48"/>
      <w:bookmarkStart w:id="49" w:name="_Toc45696615"/>
      <w:bookmarkStart w:id="50" w:name="_Toc528241519"/>
      <w:r>
        <w:rPr>
          <w:rFonts w:hint="eastAsia" w:ascii="仿宋_GB2312" w:hAnsi="仿宋_GB2312" w:eastAsia="仿宋_GB2312" w:cs="仿宋_GB2312"/>
          <w:b/>
          <w:sz w:val="32"/>
          <w:szCs w:val="32"/>
        </w:rPr>
        <w:t>1.5.1 特别重大辐射事故</w:t>
      </w:r>
      <w:bookmarkEnd w:id="49"/>
      <w:bookmarkEnd w:id="5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凡符合下列情形之一的，为特别重大辐射事故：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（1）I、Ⅱ类放射源丢失、被盗、失控并造成大范围严重辐射污染后果；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（2）放射性同位素和射线装置失控导致3人及以上急性死亡；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（3）放射性物质泄漏，造成大范围辐射污染后果；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（4）对我市可能或已经造成较大范围辐射环境影响的航天器坠落事件。</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sz w:val="32"/>
          <w:szCs w:val="32"/>
        </w:rPr>
      </w:pPr>
      <w:bookmarkStart w:id="51" w:name="_Toc528241520"/>
      <w:bookmarkStart w:id="52" w:name="_Toc45696616"/>
      <w:r>
        <w:rPr>
          <w:rFonts w:hint="eastAsia" w:ascii="仿宋_GB2312" w:hAnsi="仿宋_GB2312" w:eastAsia="仿宋_GB2312" w:cs="仿宋_GB2312"/>
          <w:b/>
          <w:sz w:val="32"/>
          <w:szCs w:val="32"/>
        </w:rPr>
        <w:t>1.5.2 重大辐射事故</w:t>
      </w:r>
      <w:bookmarkEnd w:id="51"/>
      <w:bookmarkEnd w:id="5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凡符合下列情形之一的，为重大辐射事故：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（1）I、Ⅱ类放射源丢失、被盗、失控；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（2）放射性同位素和射线装置失控导致3人以下急性死亡或者10人及以上急性重度放射病、局部器官残疾；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（3）放射性物质泄漏，造成较大范围辐射污染后果。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sz w:val="32"/>
          <w:szCs w:val="32"/>
        </w:rPr>
      </w:pPr>
      <w:bookmarkStart w:id="53" w:name="_Toc528241521"/>
      <w:bookmarkStart w:id="54" w:name="_Toc45696617"/>
      <w:r>
        <w:rPr>
          <w:rFonts w:hint="eastAsia" w:ascii="仿宋_GB2312" w:hAnsi="仿宋_GB2312" w:eastAsia="仿宋_GB2312" w:cs="仿宋_GB2312"/>
          <w:b/>
          <w:sz w:val="32"/>
          <w:szCs w:val="32"/>
        </w:rPr>
        <w:t>1.5.3 较大辐射事故</w:t>
      </w:r>
      <w:bookmarkEnd w:id="53"/>
      <w:bookmarkEnd w:id="5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凡符合下列情形之一的，为较大辐射事故：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（1）Ⅲ类放射源丢失、被盗、失控；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（2）放射性同位素和射线装置失控导致10人以下急性重度放射病、局部器官残疾；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（3）放射性物质泄漏，造成小范围辐射污染后果。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sz w:val="32"/>
          <w:szCs w:val="32"/>
        </w:rPr>
      </w:pPr>
      <w:bookmarkStart w:id="55" w:name="_Toc528241522"/>
      <w:bookmarkStart w:id="56" w:name="_Toc45696618"/>
      <w:r>
        <w:rPr>
          <w:rFonts w:hint="eastAsia" w:ascii="仿宋_GB2312" w:hAnsi="仿宋_GB2312" w:eastAsia="仿宋_GB2312" w:cs="仿宋_GB2312"/>
          <w:b/>
          <w:sz w:val="32"/>
          <w:szCs w:val="32"/>
        </w:rPr>
        <w:t>1.5.4 一般辐射事故</w:t>
      </w:r>
      <w:bookmarkEnd w:id="55"/>
      <w:bookmarkEnd w:id="5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凡符合下列情形之一的，为一般辐射事故：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（1）Ⅳ、V类放射源丢失、被盗、失控；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（2）放射性同位素和射线装置失控导致人员受到超过年剂量限值的照射；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（3）放射性物质泄漏，造成局部辐射污染后果；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（4）测井用放射源落井，打捞不成功进行封井处理。</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rPr>
      </w:pPr>
      <w:bookmarkStart w:id="57" w:name="_Toc8037"/>
      <w:bookmarkStart w:id="58" w:name="_Toc117777744"/>
      <w:bookmarkStart w:id="59" w:name="_Toc13067"/>
      <w:bookmarkStart w:id="60" w:name="_Toc27152"/>
      <w:bookmarkStart w:id="61" w:name="_Toc872177811"/>
      <w:bookmarkStart w:id="62" w:name="_Toc6686"/>
      <w:bookmarkStart w:id="63" w:name="_Toc6076"/>
      <w:r>
        <w:rPr>
          <w:rFonts w:hint="eastAsia" w:ascii="楷体_GB2312" w:hAnsi="楷体" w:eastAsia="楷体_GB2312" w:cs="Times New Roman"/>
          <w:b w:val="0"/>
          <w:bCs/>
          <w:color w:val="auto"/>
          <w:kern w:val="32"/>
          <w:sz w:val="32"/>
          <w:szCs w:val="28"/>
          <w:highlight w:val="none"/>
          <w:u w:val="none"/>
          <w:lang w:val="zh-CN"/>
        </w:rPr>
        <w:t>1.6 辐射事故风险</w:t>
      </w:r>
      <w:bookmarkEnd w:id="57"/>
      <w:bookmarkEnd w:id="58"/>
      <w:bookmarkEnd w:id="59"/>
      <w:bookmarkEnd w:id="60"/>
      <w:bookmarkEnd w:id="61"/>
      <w:r>
        <w:rPr>
          <w:rFonts w:hint="eastAsia" w:ascii="楷体_GB2312" w:hAnsi="楷体" w:eastAsia="楷体_GB2312" w:cs="Times New Roman"/>
          <w:b w:val="0"/>
          <w:bCs/>
          <w:color w:val="auto"/>
          <w:kern w:val="32"/>
          <w:sz w:val="32"/>
          <w:szCs w:val="28"/>
          <w:highlight w:val="none"/>
          <w:u w:val="none"/>
          <w:lang w:val="en-US" w:eastAsia="zh-CN"/>
        </w:rPr>
        <w:t>分析</w:t>
      </w:r>
      <w:bookmarkEnd w:id="62"/>
      <w:bookmarkEnd w:id="6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我市辐射事故风险具有以下特点：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一是可能发生特别重大、重大辐射事故的高危风险源多。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highlight w:val="none"/>
          <w:lang w:val="en-US" w:eastAsia="zh-CN" w:bidi="ar-SA"/>
        </w:rPr>
        <w:t>二是核技术利用类别多，辐射事故处理处置技术难度大。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rPr>
      </w:pPr>
      <w:bookmarkStart w:id="64" w:name="_Toc27661"/>
      <w:bookmarkStart w:id="65" w:name="_Toc961961030"/>
      <w:bookmarkStart w:id="66" w:name="_Toc759"/>
      <w:bookmarkStart w:id="67" w:name="_Toc117777745"/>
      <w:bookmarkStart w:id="68" w:name="_Toc14860"/>
      <w:bookmarkStart w:id="69" w:name="_Toc19577"/>
      <w:bookmarkStart w:id="70" w:name="_Toc4668"/>
      <w:r>
        <w:rPr>
          <w:rFonts w:hint="eastAsia" w:ascii="黑体" w:hAnsi="黑体" w:eastAsia="黑体" w:cs="黑体"/>
          <w:b w:val="0"/>
          <w:bCs/>
          <w:sz w:val="32"/>
          <w:szCs w:val="32"/>
        </w:rPr>
        <w:t>2 组织体系</w:t>
      </w:r>
      <w:bookmarkEnd w:id="64"/>
      <w:bookmarkEnd w:id="65"/>
      <w:bookmarkEnd w:id="66"/>
      <w:bookmarkEnd w:id="67"/>
      <w:bookmarkEnd w:id="68"/>
      <w:bookmarkEnd w:id="69"/>
      <w:bookmarkEnd w:id="7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深圳市核与辐射事故应急指挥部(以下简称“市核与辐射事故应急指挥部”)是深圳市突发事件</w:t>
      </w:r>
      <w:r>
        <w:rPr>
          <w:rFonts w:hint="eastAsia" w:ascii="仿宋_GB2312" w:hAnsi="仿宋_GB2312" w:eastAsia="仿宋_GB2312" w:cs="仿宋_GB2312"/>
          <w:sz w:val="32"/>
          <w:szCs w:val="32"/>
          <w:lang w:val="en-US" w:eastAsia="zh-CN"/>
        </w:rPr>
        <w:t>应急委员会下设</w:t>
      </w:r>
      <w:r>
        <w:rPr>
          <w:rFonts w:hint="eastAsia" w:ascii="仿宋_GB2312" w:hAnsi="仿宋_GB2312" w:eastAsia="仿宋_GB2312" w:cs="仿宋_GB2312"/>
          <w:sz w:val="32"/>
          <w:szCs w:val="32"/>
        </w:rPr>
        <w:t>的专项</w:t>
      </w:r>
      <w:r>
        <w:rPr>
          <w:rFonts w:hint="eastAsia" w:ascii="仿宋_GB2312" w:hAnsi="仿宋_GB2312" w:eastAsia="仿宋_GB2312" w:cs="仿宋_GB2312"/>
          <w:sz w:val="32"/>
          <w:szCs w:val="32"/>
          <w:lang w:val="en-US" w:eastAsia="zh-CN"/>
        </w:rPr>
        <w:t>应急指挥机制</w:t>
      </w:r>
      <w:r>
        <w:rPr>
          <w:rFonts w:hint="eastAsia" w:ascii="仿宋_GB2312" w:hAnsi="仿宋_GB2312" w:eastAsia="仿宋_GB2312" w:cs="仿宋_GB2312"/>
          <w:sz w:val="32"/>
          <w:szCs w:val="32"/>
        </w:rPr>
        <w:t>，负责或配合指挥较大及以上辐射事故的应急处置。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kern w:val="32"/>
          <w:sz w:val="32"/>
          <w:szCs w:val="32"/>
          <w:lang w:val="en-US" w:eastAsia="zh-CN" w:bidi="ar-SA"/>
        </w:rPr>
      </w:pPr>
      <w:r>
        <w:rPr>
          <w:rFonts w:hint="eastAsia" w:ascii="仿宋_GB2312" w:hAnsi="仿宋_GB2312" w:eastAsia="仿宋_GB2312" w:cs="仿宋_GB2312"/>
          <w:kern w:val="2"/>
          <w:sz w:val="32"/>
          <w:szCs w:val="32"/>
          <w:lang w:val="en-US" w:eastAsia="zh-CN" w:bidi="ar-SA"/>
        </w:rPr>
        <w:t>市核与辐射事故应急指挥部设置指挥部、指挥部办公室和专家咨询组，根据辐射事故应急工作需要，由指挥部办公室主任建议、总指挥批准，成立现场指挥部。发生辐射事故的核技术利用单位，应成立本单位的辐射事故应急组织机构，按照法规和本预案要求开展辐射事故应急响应工作。</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 w:eastAsia="楷体_GB2312" w:cs="Times New Roman"/>
          <w:b w:val="0"/>
          <w:bCs/>
          <w:color w:val="auto"/>
          <w:kern w:val="32"/>
          <w:sz w:val="32"/>
          <w:szCs w:val="28"/>
          <w:highlight w:val="none"/>
          <w:u w:val="none"/>
        </w:rPr>
      </w:pPr>
      <w:bookmarkStart w:id="71" w:name="_Toc10585"/>
      <w:bookmarkStart w:id="72" w:name="_Toc500916540"/>
      <w:bookmarkStart w:id="73" w:name="_Toc10110"/>
      <w:bookmarkStart w:id="74" w:name="_Toc18689"/>
      <w:bookmarkStart w:id="75" w:name="_Toc117777746"/>
      <w:bookmarkStart w:id="76" w:name="_Toc3045"/>
      <w:bookmarkStart w:id="77" w:name="_Toc21287"/>
      <w:r>
        <w:rPr>
          <w:rFonts w:hint="eastAsia" w:ascii="楷体_GB2312" w:hAnsi="楷体" w:eastAsia="楷体_GB2312" w:cs="Times New Roman"/>
          <w:b w:val="0"/>
          <w:bCs/>
          <w:color w:val="auto"/>
          <w:kern w:val="32"/>
          <w:sz w:val="32"/>
          <w:szCs w:val="28"/>
          <w:highlight w:val="none"/>
          <w:u w:val="none"/>
          <w:lang w:val="zh-CN"/>
        </w:rPr>
        <w:t>2.1 市核与辐射事故应急指挥部</w:t>
      </w:r>
      <w:bookmarkEnd w:id="71"/>
      <w:bookmarkEnd w:id="72"/>
      <w:bookmarkEnd w:id="73"/>
      <w:bookmarkEnd w:id="74"/>
      <w:bookmarkEnd w:id="75"/>
      <w:r>
        <w:rPr>
          <w:rFonts w:hint="eastAsia" w:ascii="楷体_GB2312" w:hAnsi="楷体" w:eastAsia="楷体_GB2312" w:cs="Times New Roman"/>
          <w:b w:val="0"/>
          <w:bCs/>
          <w:color w:val="auto"/>
          <w:kern w:val="32"/>
          <w:sz w:val="32"/>
          <w:szCs w:val="28"/>
          <w:highlight w:val="none"/>
          <w:u w:val="none"/>
          <w:lang w:val="en-US" w:eastAsia="zh-CN"/>
        </w:rPr>
        <w:t>及其职责</w:t>
      </w:r>
      <w:bookmarkEnd w:id="76"/>
      <w:bookmarkEnd w:id="7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核与辐射事故应急指挥部设总指挥1名、副总指挥4名。总指挥由市分管生态环境工作的副市长担任，全面负责辐射事故应急指挥工作。副总指挥分别由市协助分管生态环境工作的市政府副秘书长、深圳警备区负责同志、市生态环境局主要负责同志和市应急管理局主要负责同志担任，协助总指挥开展辐射事故应急指挥工作。</w:t>
      </w:r>
      <w:r>
        <w:rPr>
          <w:rFonts w:hint="eastAsia" w:ascii="仿宋_GB2312" w:hAnsi="仿宋_GB2312" w:eastAsia="仿宋_GB2312" w:cs="仿宋_GB2312"/>
          <w:sz w:val="32"/>
          <w:szCs w:val="32"/>
          <w:lang w:val="en-US" w:eastAsia="zh-CN"/>
        </w:rPr>
        <w:t>指挥部</w:t>
      </w:r>
      <w:r>
        <w:rPr>
          <w:rFonts w:hint="eastAsia" w:ascii="仿宋_GB2312" w:hAnsi="仿宋_GB2312" w:eastAsia="仿宋_GB2312" w:cs="仿宋_GB2312"/>
          <w:sz w:val="32"/>
          <w:szCs w:val="32"/>
        </w:rPr>
        <w:t>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（1）贯彻执行预防和应对辐射事故的法律、法规、规章和政策；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根据本预案规定程序启动和结束应急响应；</w:t>
      </w:r>
      <w:r>
        <w:rPr>
          <w:rFonts w:hint="eastAsia" w:ascii="仿宋_GB2312" w:hAnsi="仿宋_GB2312" w:eastAsia="仿宋_GB2312" w:cs="仿宋_GB2312"/>
          <w:sz w:val="32"/>
          <w:szCs w:val="32"/>
        </w:rPr>
        <w:t>指挥协调指挥部成员单位处置较大辐射事故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做好重大或特别重大辐射事故的先期处置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一般</w:t>
      </w:r>
      <w:r>
        <w:rPr>
          <w:rFonts w:hint="eastAsia" w:ascii="仿宋_GB2312" w:hAnsi="仿宋_GB2312" w:eastAsia="仿宋_GB2312" w:cs="仿宋_GB2312"/>
          <w:sz w:val="32"/>
          <w:szCs w:val="32"/>
        </w:rPr>
        <w:t>辐射事故应急处置工作需要，向区辐射事故应急指挥部提供指导、支援或负责应对；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）负责辐射事故信息发布和网络舆情引导</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承办省生态环境厅、市委、市政府、市应急委交办的辐射事故相关工作事项。</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78" w:name="_Toc3609"/>
      <w:bookmarkStart w:id="79" w:name="_Toc21338"/>
      <w:r>
        <w:rPr>
          <w:rFonts w:hint="eastAsia" w:ascii="楷体_GB2312" w:hAnsi="楷体" w:eastAsia="楷体_GB2312" w:cs="Times New Roman"/>
          <w:b w:val="0"/>
          <w:bCs/>
          <w:color w:val="auto"/>
          <w:kern w:val="32"/>
          <w:sz w:val="32"/>
          <w:szCs w:val="28"/>
          <w:highlight w:val="none"/>
          <w:u w:val="none"/>
          <w:lang w:val="zh-CN"/>
        </w:rPr>
        <w:t xml:space="preserve">2.2 </w:t>
      </w:r>
      <w:r>
        <w:rPr>
          <w:rFonts w:hint="eastAsia" w:ascii="楷体_GB2312" w:hAnsi="楷体" w:eastAsia="楷体_GB2312" w:cs="Times New Roman"/>
          <w:b w:val="0"/>
          <w:bCs/>
          <w:color w:val="auto"/>
          <w:kern w:val="32"/>
          <w:sz w:val="32"/>
          <w:szCs w:val="28"/>
          <w:highlight w:val="none"/>
          <w:u w:val="none"/>
          <w:lang w:val="en-US" w:eastAsia="zh-CN"/>
        </w:rPr>
        <w:t>市核与辐射事故应急指挥部</w:t>
      </w:r>
      <w:r>
        <w:rPr>
          <w:rFonts w:hint="eastAsia" w:ascii="楷体_GB2312" w:hAnsi="楷体" w:eastAsia="楷体_GB2312" w:cs="Times New Roman"/>
          <w:b w:val="0"/>
          <w:bCs/>
          <w:color w:val="auto"/>
          <w:kern w:val="32"/>
          <w:sz w:val="32"/>
          <w:szCs w:val="28"/>
          <w:highlight w:val="none"/>
          <w:u w:val="none"/>
          <w:lang w:val="zh-CN"/>
        </w:rPr>
        <w:t>办公室</w:t>
      </w:r>
      <w:r>
        <w:rPr>
          <w:rFonts w:hint="eastAsia" w:ascii="楷体_GB2312" w:hAnsi="楷体" w:eastAsia="楷体_GB2312" w:cs="Times New Roman"/>
          <w:b w:val="0"/>
          <w:bCs/>
          <w:color w:val="auto"/>
          <w:kern w:val="32"/>
          <w:sz w:val="32"/>
          <w:szCs w:val="28"/>
          <w:highlight w:val="none"/>
          <w:u w:val="none"/>
          <w:lang w:val="en-US" w:eastAsia="zh-CN"/>
        </w:rPr>
        <w:t>及其职责</w:t>
      </w:r>
      <w:bookmarkEnd w:id="78"/>
      <w:bookmarkEnd w:id="79"/>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办公室为市核与辐射事故应急指挥部的日常办事机构，设在市生态环境局，由市生态环境局局长任办公室主任，分管核与辐射的副局长任办公室副主任，办公室成员由市生态环境局相关处室负责人组成。其主要职责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（1）负责市</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辐射事故应急预案的修订；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（2）负责组织实施辐射事故应急人员培训及演练；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实施市</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辐射事故应急能力建设；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（4）负责辐射事故相关应急处置与监测队伍的建设和管理；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（5）统筹辐射事故相关应急物资、装备的储备、管理和调用；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）为各区政府开展辐射事故应急准备及响应</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提供支持或指导；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）负责贯彻落实市核与辐射事故应急指挥部的各项决策；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）组织协调市核与辐射事故应急指挥部成员单位实施应急响应。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b/>
          <w:sz w:val="32"/>
          <w:szCs w:val="32"/>
        </w:rPr>
      </w:pPr>
      <w:bookmarkStart w:id="80" w:name="_Toc3505"/>
      <w:bookmarkStart w:id="81" w:name="_Toc31200"/>
      <w:r>
        <w:rPr>
          <w:rFonts w:hint="eastAsia" w:ascii="楷体_GB2312" w:hAnsi="楷体" w:eastAsia="楷体_GB2312" w:cs="Times New Roman"/>
          <w:b w:val="0"/>
          <w:bCs/>
          <w:color w:val="auto"/>
          <w:kern w:val="32"/>
          <w:sz w:val="32"/>
          <w:szCs w:val="28"/>
          <w:highlight w:val="none"/>
          <w:u w:val="none"/>
          <w:lang w:val="zh-CN"/>
        </w:rPr>
        <w:t>2.</w:t>
      </w:r>
      <w:r>
        <w:rPr>
          <w:rFonts w:hint="eastAsia" w:ascii="楷体_GB2312" w:hAnsi="楷体" w:eastAsia="楷体_GB2312" w:cs="Times New Roman"/>
          <w:b w:val="0"/>
          <w:bCs/>
          <w:color w:val="auto"/>
          <w:kern w:val="32"/>
          <w:sz w:val="32"/>
          <w:szCs w:val="28"/>
          <w:highlight w:val="none"/>
          <w:u w:val="none"/>
          <w:lang w:val="en-US" w:eastAsia="zh-CN"/>
        </w:rPr>
        <w:t>3</w:t>
      </w:r>
      <w:r>
        <w:rPr>
          <w:rFonts w:hint="eastAsia" w:ascii="楷体_GB2312" w:hAnsi="楷体" w:eastAsia="楷体_GB2312" w:cs="Times New Roman"/>
          <w:b w:val="0"/>
          <w:bCs/>
          <w:color w:val="auto"/>
          <w:kern w:val="32"/>
          <w:sz w:val="32"/>
          <w:szCs w:val="28"/>
          <w:highlight w:val="none"/>
          <w:u w:val="none"/>
          <w:lang w:val="zh-CN"/>
        </w:rPr>
        <w:t xml:space="preserve"> </w:t>
      </w:r>
      <w:r>
        <w:rPr>
          <w:rFonts w:hint="eastAsia" w:ascii="楷体_GB2312" w:hAnsi="楷体" w:eastAsia="楷体_GB2312" w:cs="Times New Roman"/>
          <w:b w:val="0"/>
          <w:bCs/>
          <w:color w:val="auto"/>
          <w:kern w:val="32"/>
          <w:sz w:val="32"/>
          <w:szCs w:val="28"/>
          <w:highlight w:val="none"/>
          <w:u w:val="none"/>
          <w:lang w:val="en-US" w:eastAsia="zh-CN"/>
        </w:rPr>
        <w:t>市核与辐射事故应急指挥部成员单位及其职责</w:t>
      </w:r>
      <w:bookmarkEnd w:id="80"/>
      <w:bookmarkEnd w:id="8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核与辐射事故应急指挥部主要成员单位包括：市委宣传部（市政府新闻办）、市委网信办，市公安局、市生态环境局、市交通运输局、市卫生健康委、市应急管理局，各区政府（含大鹏新区管委会和深汕特别合作区管委会，下同）、深圳海关和深圳警备区等20家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市核与辐射事故应急指挥部成员单位在市应急委的领导下，由市核与辐射事故应急指挥部统一指挥，参与辐射事故应急处置工作。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）市委宣传部（市政府新闻办）：</w:t>
      </w:r>
      <w:bookmarkStart w:id="82" w:name="_Hlk104642203"/>
      <w:r>
        <w:rPr>
          <w:rFonts w:hint="eastAsia" w:ascii="仿宋_GB2312" w:hAnsi="仿宋_GB2312" w:eastAsia="仿宋_GB2312"/>
          <w:sz w:val="32"/>
          <w:highlight w:val="none"/>
        </w:rPr>
        <w:t>负责指导较大及以上辐射事故的新闻发布和宣传报道工作</w:t>
      </w:r>
      <w:bookmarkEnd w:id="82"/>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）市委网信办：</w:t>
      </w:r>
      <w:bookmarkStart w:id="83" w:name="_Hlk104642275"/>
      <w:r>
        <w:rPr>
          <w:rFonts w:hint="eastAsia" w:ascii="仿宋_GB2312" w:hAnsi="仿宋_GB2312" w:eastAsia="仿宋_GB2312" w:cs="仿宋_GB2312"/>
          <w:sz w:val="32"/>
          <w:szCs w:val="32"/>
          <w:vertAlign w:val="baseline"/>
          <w:lang w:val="en-US" w:eastAsia="zh-CN"/>
        </w:rPr>
        <w:t>会同市生态环境局和相关应急部门，共同进行辐射事故网络舆情的监测、搜集、研判和处置工作；指导网络舆论引导工作</w:t>
      </w:r>
      <w:bookmarkEnd w:id="83"/>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）市公安局：负责对丢失和被盗放射源（含非密封放射性物质）案件的立案、侦察和追缴；负责</w:t>
      </w:r>
      <w:r>
        <w:rPr>
          <w:rFonts w:hint="eastAsia" w:ascii="仿宋_GB2312" w:hAnsi="仿宋_GB2312" w:eastAsia="仿宋_GB2312" w:cs="仿宋_GB2312"/>
          <w:sz w:val="32"/>
          <w:szCs w:val="32"/>
          <w:lang w:val="en-US" w:eastAsia="zh-CN"/>
        </w:rPr>
        <w:t>辐射事故</w:t>
      </w:r>
      <w:r>
        <w:rPr>
          <w:rFonts w:hint="eastAsia" w:ascii="仿宋_GB2312" w:hAnsi="仿宋_GB2312" w:eastAsia="仿宋_GB2312" w:cs="仿宋_GB2312"/>
          <w:sz w:val="32"/>
          <w:szCs w:val="32"/>
        </w:rPr>
        <w:t>现场的警戒工作；</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辐射事故现场区域周边道路</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交通</w:t>
      </w:r>
      <w:r>
        <w:rPr>
          <w:rFonts w:hint="eastAsia" w:ascii="仿宋_GB2312" w:hAnsi="仿宋_GB2312" w:eastAsia="仿宋_GB2312" w:cs="仿宋_GB2312"/>
          <w:sz w:val="32"/>
          <w:szCs w:val="32"/>
          <w:lang w:val="en-US" w:eastAsia="zh-CN"/>
        </w:rPr>
        <w:t>疏导和</w:t>
      </w:r>
      <w:r>
        <w:rPr>
          <w:rFonts w:hint="eastAsia" w:ascii="仿宋_GB2312" w:hAnsi="仿宋_GB2312" w:eastAsia="仿宋_GB2312" w:cs="仿宋_GB2312"/>
          <w:sz w:val="32"/>
          <w:szCs w:val="32"/>
        </w:rPr>
        <w:t>管制，保障救援</w:t>
      </w:r>
      <w:r>
        <w:rPr>
          <w:rFonts w:hint="eastAsia" w:ascii="仿宋_GB2312" w:hAnsi="仿宋_GB2312" w:eastAsia="仿宋_GB2312" w:cs="仿宋_GB2312"/>
          <w:sz w:val="32"/>
          <w:szCs w:val="32"/>
          <w:lang w:val="en-US" w:eastAsia="zh-CN"/>
        </w:rPr>
        <w:t>通道</w:t>
      </w:r>
      <w:r>
        <w:rPr>
          <w:rFonts w:hint="eastAsia" w:ascii="仿宋_GB2312" w:hAnsi="仿宋_GB2312" w:eastAsia="仿宋_GB2312" w:cs="仿宋_GB2312"/>
          <w:sz w:val="32"/>
          <w:szCs w:val="32"/>
        </w:rPr>
        <w:t>畅通；协助疏散受灾人群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负责人员撤离区域的治安管理</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）市生态环境局：负责市核与辐射事故应急指挥部办公室的日常工作，组织辐射</w:t>
      </w:r>
      <w:r>
        <w:rPr>
          <w:rFonts w:hint="eastAsia" w:ascii="仿宋_GB2312" w:hAnsi="仿宋_GB2312" w:eastAsia="仿宋_GB2312" w:cs="仿宋_GB2312"/>
          <w:sz w:val="32"/>
          <w:szCs w:val="32"/>
          <w:lang w:val="en-US" w:eastAsia="zh-CN"/>
        </w:rPr>
        <w:t>事故应急</w:t>
      </w:r>
      <w:r>
        <w:rPr>
          <w:rFonts w:hint="eastAsia" w:ascii="仿宋_GB2312" w:hAnsi="仿宋_GB2312" w:eastAsia="仿宋_GB2312" w:cs="仿宋_GB2312"/>
          <w:sz w:val="32"/>
          <w:szCs w:val="32"/>
        </w:rPr>
        <w:t>培训与演练；及时向市委、市政府、市应急委和省生态环境厅报告辐射事故信息；组织或指导开展辐射事故现场隔离、污染处置与辐射监测，对辐射事故产生的放射性废水、废气和固体废弃物等提出处理建议；协助公安机关追缴丢失、被盗的放射源；在市委宣传部和市委网信办的指导下做好辐射事故信息公开和舆情引导工作；负责牵头或协助上级生态环境部门做好辐射事故调查；负责外部应急支援的协调衔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负责组建专家咨询组</w:t>
      </w:r>
      <w:r>
        <w:rPr>
          <w:rFonts w:hint="eastAsia" w:ascii="仿宋_GB2312" w:hAnsi="仿宋_GB2312" w:eastAsia="仿宋_GB2312" w:cs="仿宋_GB2312"/>
          <w:sz w:val="32"/>
          <w:szCs w:val="32"/>
          <w:lang w:val="en-US" w:eastAsia="zh-CN"/>
        </w:rPr>
        <w:t>并做好维护管理工作</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）市交通运输局：根据现场应急处置工作需要，负责组织协调具备许可资质的放射性物品道路运输企业或者单位为辐射事故应急处置提供交通运输保障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负责交通运输应急保障，做好人员、设备和物资的运送工作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负责组织放射性物品运输事故中受损道路设施的抢修维护等工作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参与放射性物品运输事故的应急处置与调查。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）市卫生健康委：负责辐射事故现场受照射伤害人员的医疗救护；负责可能受到照射伤害的人员健康影响评估；开展食品和饮用水的辐射应急监测；参与辐射事故相关应急处置行动和事故调查处理。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）市应急管理局：</w:t>
      </w:r>
      <w:r>
        <w:rPr>
          <w:rFonts w:hint="eastAsia" w:ascii="仿宋_GB2312" w:eastAsia="仿宋_GB2312" w:cs="Arial"/>
          <w:color w:val="auto"/>
          <w:sz w:val="32"/>
          <w:szCs w:val="32"/>
          <w:lang w:val="en-US" w:eastAsia="zh-CN"/>
        </w:rPr>
        <w:t>组织、协调应急避难场所开放使用，指导做好受辐射事故影响区域应急转移群众的安置救助工作</w:t>
      </w:r>
      <w:r>
        <w:rPr>
          <w:rFonts w:hint="eastAsia" w:ascii="仿宋_GB2312" w:hAnsi="仿宋_GB2312" w:eastAsia="仿宋_GB2312" w:cs="仿宋_GB2312"/>
          <w:sz w:val="32"/>
          <w:szCs w:val="32"/>
        </w:rPr>
        <w:t>；协调相关应急资源参与辐射事故应急处置，参与辐射事故调查处理。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rPr>
        <w:t>）各区政府：</w:t>
      </w:r>
      <w:r>
        <w:rPr>
          <w:rFonts w:hint="eastAsia" w:ascii="仿宋_GB2312" w:hAnsi="仿宋_GB2312" w:eastAsia="仿宋_GB2312" w:cs="仿宋_GB2312"/>
          <w:sz w:val="32"/>
          <w:szCs w:val="32"/>
          <w:lang w:val="en-US" w:eastAsia="zh-CN"/>
        </w:rPr>
        <w:t>按照属地管理的原则，</w:t>
      </w:r>
      <w:r>
        <w:rPr>
          <w:rFonts w:hint="eastAsia" w:ascii="仿宋_GB2312" w:hAnsi="仿宋_GB2312" w:eastAsia="仿宋_GB2312" w:cs="仿宋_GB2312"/>
          <w:sz w:val="32"/>
          <w:szCs w:val="32"/>
        </w:rPr>
        <w:t>结合辖区辐射安全风险特征，组织制定本级辐射事故应急预案并定期开展演练；负责</w:t>
      </w:r>
      <w:r>
        <w:rPr>
          <w:rFonts w:hint="eastAsia" w:ascii="仿宋_GB2312" w:hAnsi="仿宋_GB2312" w:eastAsia="仿宋_GB2312" w:cs="仿宋_GB2312"/>
          <w:sz w:val="32"/>
          <w:szCs w:val="32"/>
          <w:lang w:val="en-US" w:eastAsia="zh-CN"/>
        </w:rPr>
        <w:t>辖区内</w:t>
      </w:r>
      <w:r>
        <w:rPr>
          <w:rFonts w:hint="eastAsia" w:ascii="仿宋_GB2312" w:hAnsi="仿宋_GB2312" w:eastAsia="仿宋_GB2312" w:cs="仿宋_GB2312"/>
          <w:sz w:val="32"/>
          <w:szCs w:val="32"/>
        </w:rPr>
        <w:t>一般辐射事故</w:t>
      </w:r>
      <w:r>
        <w:rPr>
          <w:rFonts w:hint="eastAsia" w:ascii="仿宋_GB2312" w:hAnsi="仿宋_GB2312" w:eastAsia="仿宋_GB2312" w:cs="仿宋_GB2312"/>
          <w:sz w:val="32"/>
          <w:szCs w:val="32"/>
          <w:lang w:val="en-US" w:eastAsia="zh-CN"/>
        </w:rPr>
        <w:t>应对工作，配合处置较大及以上辐射事故应急处置工作</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9</w:t>
      </w:r>
      <w:r>
        <w:rPr>
          <w:rFonts w:hint="eastAsia" w:ascii="仿宋_GB2312" w:hAnsi="仿宋_GB2312" w:eastAsia="仿宋_GB2312" w:cs="仿宋_GB2312"/>
          <w:sz w:val="32"/>
          <w:szCs w:val="32"/>
        </w:rPr>
        <w:t>）深圳海关：</w:t>
      </w:r>
      <w:r>
        <w:rPr>
          <w:rFonts w:hint="eastAsia" w:ascii="仿宋_GB2312" w:hAnsi="仿宋_GB2312" w:eastAsia="仿宋_GB2312" w:cs="仿宋_GB2312"/>
          <w:sz w:val="32"/>
          <w:szCs w:val="32"/>
          <w:vertAlign w:val="baseline"/>
          <w:lang w:val="en-US" w:eastAsia="zh-CN"/>
        </w:rPr>
        <w:t>负责对出入境监管对象的放射性监测、排查，向生态环境部门通报查获可疑进出境放射性物品情况，配合地方开展口岸辐射事故的应急处置</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）深圳警备区：根据现场应急处置工作需要，负责协调防化部队参与较大、重大或特别重大辐射事故的应急处置。</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84" w:name="_Toc117777748"/>
      <w:bookmarkStart w:id="85" w:name="_Toc23436"/>
      <w:bookmarkStart w:id="86" w:name="_Toc10016"/>
      <w:bookmarkStart w:id="87" w:name="_Toc14931"/>
      <w:bookmarkStart w:id="88" w:name="_Toc10668"/>
      <w:bookmarkStart w:id="89" w:name="_Toc1450230462"/>
      <w:bookmarkStart w:id="90" w:name="_Toc24468"/>
      <w:r>
        <w:rPr>
          <w:rFonts w:hint="eastAsia" w:ascii="楷体_GB2312" w:hAnsi="楷体" w:eastAsia="楷体_GB2312" w:cs="Times New Roman"/>
          <w:b w:val="0"/>
          <w:bCs/>
          <w:color w:val="auto"/>
          <w:kern w:val="32"/>
          <w:sz w:val="32"/>
          <w:szCs w:val="28"/>
          <w:highlight w:val="none"/>
          <w:u w:val="none"/>
          <w:lang w:val="zh-CN"/>
        </w:rPr>
        <w:t>2.</w:t>
      </w:r>
      <w:r>
        <w:rPr>
          <w:rFonts w:hint="eastAsia" w:ascii="楷体_GB2312" w:hAnsi="楷体" w:eastAsia="楷体_GB2312" w:cs="Times New Roman"/>
          <w:b w:val="0"/>
          <w:bCs/>
          <w:color w:val="auto"/>
          <w:kern w:val="32"/>
          <w:sz w:val="32"/>
          <w:szCs w:val="28"/>
          <w:highlight w:val="none"/>
          <w:u w:val="none"/>
          <w:lang w:val="en-US" w:eastAsia="zh-CN"/>
        </w:rPr>
        <w:t>4</w:t>
      </w:r>
      <w:r>
        <w:rPr>
          <w:rFonts w:hint="eastAsia" w:ascii="楷体_GB2312" w:hAnsi="楷体" w:eastAsia="楷体_GB2312" w:cs="Times New Roman"/>
          <w:b w:val="0"/>
          <w:bCs/>
          <w:color w:val="auto"/>
          <w:kern w:val="32"/>
          <w:sz w:val="32"/>
          <w:szCs w:val="28"/>
          <w:highlight w:val="none"/>
          <w:u w:val="none"/>
          <w:lang w:val="zh-CN"/>
        </w:rPr>
        <w:t xml:space="preserve"> 专家咨询组</w:t>
      </w:r>
      <w:bookmarkEnd w:id="84"/>
      <w:bookmarkEnd w:id="85"/>
      <w:bookmarkEnd w:id="86"/>
      <w:bookmarkEnd w:id="87"/>
      <w:bookmarkEnd w:id="88"/>
      <w:bookmarkEnd w:id="89"/>
      <w:bookmarkEnd w:id="9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专家咨询组由</w:t>
      </w:r>
      <w:r>
        <w:rPr>
          <w:rFonts w:hint="eastAsia" w:ascii="仿宋_GB2312" w:hAnsi="仿宋_GB2312" w:eastAsia="仿宋_GB2312" w:cs="仿宋_GB2312"/>
          <w:kern w:val="2"/>
          <w:sz w:val="32"/>
          <w:szCs w:val="32"/>
          <w:lang w:val="en-US" w:eastAsia="zh-CN" w:bidi="ar-SA"/>
        </w:rPr>
        <w:t>市核与辐射事故应急指挥部</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负责组建，主要由辐射防护、辐射监测、放射性废物处置、医疗救治、辐射安全管理等领域的专家组成。其主要职责是：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参与由</w:t>
      </w:r>
      <w:r>
        <w:rPr>
          <w:rFonts w:hint="eastAsia" w:ascii="仿宋_GB2312" w:hAnsi="仿宋_GB2312" w:eastAsia="仿宋_GB2312" w:cs="仿宋_GB2312"/>
          <w:kern w:val="2"/>
          <w:sz w:val="32"/>
          <w:szCs w:val="32"/>
          <w:lang w:val="en-US" w:eastAsia="zh-CN" w:bidi="ar-SA"/>
        </w:rPr>
        <w:t>市核与辐射事故应急指挥部</w:t>
      </w:r>
      <w:r>
        <w:rPr>
          <w:rFonts w:hint="eastAsia" w:ascii="仿宋_GB2312" w:hAnsi="仿宋_GB2312" w:eastAsia="仿宋_GB2312" w:cs="仿宋_GB2312"/>
          <w:sz w:val="32"/>
          <w:szCs w:val="32"/>
          <w:lang w:val="en-US" w:eastAsia="zh-CN"/>
        </w:rPr>
        <w:t>办公室组织的辐射事故应急准备工作重大问题的研讨和研究，提供工作建议；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）研判辐射事故重要信息，参与辐射事故定性定级；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）参与制定辐射事故现场处置方案和辐射应急监测方案，为辐射事故应急决策提供技术支持；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）参与舆情应对和信息发布；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）提出应急响应终止的专家意见</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参与事故调查工作</w:t>
      </w:r>
      <w:r>
        <w:rPr>
          <w:rFonts w:hint="eastAsia" w:ascii="仿宋_GB2312" w:hAnsi="仿宋_GB2312" w:eastAsia="仿宋_GB2312" w:cs="仿宋_GB2312"/>
          <w:sz w:val="32"/>
          <w:szCs w:val="32"/>
        </w:rPr>
        <w:t>。</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91" w:name="_Toc29389"/>
      <w:bookmarkStart w:id="92" w:name="_Toc12873"/>
      <w:r>
        <w:rPr>
          <w:rFonts w:hint="eastAsia" w:ascii="楷体_GB2312" w:hAnsi="楷体" w:eastAsia="楷体_GB2312" w:cs="Times New Roman"/>
          <w:b w:val="0"/>
          <w:bCs/>
          <w:color w:val="auto"/>
          <w:kern w:val="32"/>
          <w:sz w:val="32"/>
          <w:szCs w:val="28"/>
          <w:highlight w:val="none"/>
          <w:u w:val="none"/>
          <w:lang w:val="en-US" w:eastAsia="zh-CN"/>
        </w:rPr>
        <w:t>2</w:t>
      </w:r>
      <w:r>
        <w:rPr>
          <w:rFonts w:hint="eastAsia" w:ascii="楷体_GB2312" w:hAnsi="楷体" w:eastAsia="楷体_GB2312" w:cs="Times New Roman"/>
          <w:b w:val="0"/>
          <w:bCs/>
          <w:color w:val="auto"/>
          <w:kern w:val="32"/>
          <w:sz w:val="32"/>
          <w:szCs w:val="28"/>
          <w:highlight w:val="none"/>
          <w:u w:val="none"/>
          <w:lang w:val="zh-CN"/>
        </w:rPr>
        <w:t>.5 核技术利用单位</w:t>
      </w:r>
      <w:bookmarkEnd w:id="91"/>
      <w:bookmarkEnd w:id="9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核技术利用单位应组织建立本单位辐射事故应急组织体系，</w:t>
      </w:r>
      <w:r>
        <w:rPr>
          <w:rFonts w:hint="eastAsia" w:ascii="仿宋_GB2312" w:hAnsi="仿宋_GB2312" w:eastAsia="仿宋_GB2312" w:cs="仿宋_GB2312"/>
          <w:sz w:val="32"/>
          <w:szCs w:val="32"/>
        </w:rPr>
        <w:t>制定本单位辐射事故应急</w:t>
      </w:r>
      <w:r>
        <w:rPr>
          <w:rFonts w:hint="eastAsia" w:ascii="仿宋_GB2312" w:hAnsi="仿宋_GB2312" w:eastAsia="仿宋_GB2312" w:cs="仿宋_GB2312"/>
          <w:sz w:val="32"/>
          <w:szCs w:val="32"/>
          <w:lang w:val="en-US" w:eastAsia="zh-CN"/>
        </w:rPr>
        <w:t>预案或</w:t>
      </w:r>
      <w:r>
        <w:rPr>
          <w:rFonts w:hint="eastAsia" w:ascii="仿宋_GB2312" w:hAnsi="仿宋_GB2312" w:eastAsia="仿宋_GB2312" w:cs="仿宋_GB2312"/>
          <w:sz w:val="32"/>
          <w:szCs w:val="32"/>
        </w:rPr>
        <w:t>处置方案，定期做好人员培训及应急演练等应急准备工作；发生辐射事故时，启动本单位应急</w:t>
      </w:r>
      <w:r>
        <w:rPr>
          <w:rFonts w:hint="eastAsia" w:ascii="仿宋_GB2312" w:hAnsi="仿宋_GB2312" w:eastAsia="仿宋_GB2312" w:cs="仿宋_GB2312"/>
          <w:sz w:val="32"/>
          <w:szCs w:val="32"/>
          <w:lang w:val="en-US" w:eastAsia="zh-CN"/>
        </w:rPr>
        <w:t>预案或</w:t>
      </w:r>
      <w:r>
        <w:rPr>
          <w:rFonts w:hint="eastAsia" w:ascii="仿宋_GB2312" w:hAnsi="仿宋_GB2312" w:eastAsia="仿宋_GB2312" w:cs="仿宋_GB2312"/>
          <w:sz w:val="32"/>
          <w:szCs w:val="32"/>
        </w:rPr>
        <w:t>处置方案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采取应对措施，减轻事故后果，做好应急监测与污染处置，及时向</w:t>
      </w:r>
      <w:r>
        <w:rPr>
          <w:rFonts w:hint="eastAsia" w:ascii="仿宋_GB2312" w:hAnsi="仿宋_GB2312" w:eastAsia="仿宋_GB2312" w:cs="仿宋_GB2312"/>
          <w:sz w:val="32"/>
          <w:szCs w:val="32"/>
          <w:lang w:val="en-US" w:eastAsia="zh-CN"/>
        </w:rPr>
        <w:t>属地街道办</w:t>
      </w:r>
      <w:r>
        <w:rPr>
          <w:rFonts w:hint="eastAsia" w:ascii="仿宋_GB2312" w:hAnsi="仿宋_GB2312" w:eastAsia="仿宋_GB2312" w:cs="仿宋_GB2312"/>
          <w:sz w:val="32"/>
          <w:szCs w:val="32"/>
        </w:rPr>
        <w:t>及生态环境、公安和卫生健康主管部门报告辐射事故信息。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b w:val="0"/>
          <w:bCs/>
          <w:sz w:val="32"/>
          <w:szCs w:val="32"/>
        </w:rPr>
      </w:pPr>
      <w:bookmarkStart w:id="93" w:name="_Toc20499"/>
      <w:bookmarkStart w:id="94" w:name="_Toc7625"/>
      <w:bookmarkStart w:id="95" w:name="_Toc189425297"/>
      <w:bookmarkStart w:id="96" w:name="_Toc6121"/>
      <w:bookmarkStart w:id="97" w:name="_Toc28116"/>
      <w:bookmarkStart w:id="98" w:name="_Toc2139"/>
      <w:bookmarkStart w:id="99" w:name="_Toc117777751"/>
      <w:r>
        <w:rPr>
          <w:rFonts w:hint="eastAsia" w:ascii="黑体" w:hAnsi="黑体" w:eastAsia="黑体" w:cs="黑体"/>
          <w:b w:val="0"/>
          <w:bCs/>
          <w:sz w:val="32"/>
          <w:szCs w:val="32"/>
        </w:rPr>
        <w:t xml:space="preserve">3 </w:t>
      </w:r>
      <w:bookmarkEnd w:id="93"/>
      <w:bookmarkEnd w:id="94"/>
      <w:bookmarkEnd w:id="95"/>
      <w:bookmarkEnd w:id="96"/>
      <w:r>
        <w:rPr>
          <w:rFonts w:hint="eastAsia" w:ascii="黑体" w:hAnsi="黑体" w:eastAsia="黑体" w:cs="黑体"/>
          <w:b w:val="0"/>
          <w:bCs/>
          <w:sz w:val="32"/>
          <w:szCs w:val="32"/>
          <w:lang w:val="en-US" w:eastAsia="zh-CN"/>
        </w:rPr>
        <w:t>运行机制</w:t>
      </w:r>
      <w:bookmarkEnd w:id="97"/>
      <w:bookmarkEnd w:id="98"/>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100" w:name="_Toc23262"/>
      <w:bookmarkStart w:id="101" w:name="_Toc21165"/>
      <w:bookmarkStart w:id="102" w:name="_Toc1651045843"/>
      <w:bookmarkStart w:id="103" w:name="_Toc29169"/>
      <w:bookmarkStart w:id="104" w:name="_Toc6554"/>
      <w:bookmarkStart w:id="105" w:name="_Toc26042"/>
      <w:r>
        <w:rPr>
          <w:rFonts w:hint="eastAsia" w:ascii="楷体_GB2312" w:hAnsi="楷体" w:eastAsia="楷体_GB2312" w:cs="Times New Roman"/>
          <w:b w:val="0"/>
          <w:bCs/>
          <w:color w:val="auto"/>
          <w:kern w:val="32"/>
          <w:sz w:val="32"/>
          <w:szCs w:val="28"/>
          <w:highlight w:val="none"/>
          <w:u w:val="none"/>
          <w:lang w:val="zh-CN"/>
        </w:rPr>
        <w:t>3.1 风险防控</w:t>
      </w:r>
      <w:bookmarkEnd w:id="100"/>
      <w:bookmarkEnd w:id="101"/>
      <w:bookmarkEnd w:id="102"/>
      <w:bookmarkEnd w:id="103"/>
      <w:bookmarkEnd w:id="104"/>
      <w:bookmarkEnd w:id="105"/>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（1）辐射事故风险防控应纳入我市核安全协调机制有关工作，定期分析辐射安全形势，提出应对措施和建议</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（2）市、区生态环境部门应结合风险评估结果，对辖区内的重大风险点和危险源，制订防控措施、整改方案和应急预案，同时做好应急准备工作，配备必要的辐射监测与防护设施设备。</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（3）市生态环境局、市公安局、市卫生健康委建立辐射事故信息通报机制，实现辐射事故应急联动响应。</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市人民政府加强与相邻地市、毗邻地区建立健全区域应急联动机制，深化信息共享、应急救援和防灾减灾救灾等方面的合作，共同做好区域性、流域性、关联性强的辐射事故防范应对工作，提高区域辐射事故应急管理能力。</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（5）核技术利用单位应建立长效的辐射安全隐患排查与治理机制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发现后能够立即治理的隐患，应立即采取措施消除隐患；对于情况复杂、短期内难以完成治理的辐射安全隐患，应制定隐患治理方案，落实隐患治理措施、责任、资金、时限和现场应急预案，及时消除隐患，降低辐射安全风险。</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106" w:name="_Toc7148"/>
      <w:bookmarkStart w:id="107" w:name="_Toc25552"/>
      <w:bookmarkStart w:id="108" w:name="_Toc3626"/>
      <w:bookmarkStart w:id="109" w:name="_Toc1062258430"/>
      <w:bookmarkStart w:id="110" w:name="_Toc20200"/>
      <w:bookmarkStart w:id="111" w:name="_Toc9101"/>
      <w:r>
        <w:rPr>
          <w:rFonts w:hint="eastAsia" w:ascii="楷体_GB2312" w:hAnsi="楷体" w:eastAsia="楷体_GB2312" w:cs="Times New Roman"/>
          <w:b w:val="0"/>
          <w:bCs/>
          <w:color w:val="auto"/>
          <w:kern w:val="32"/>
          <w:sz w:val="32"/>
          <w:szCs w:val="28"/>
          <w:highlight w:val="none"/>
          <w:u w:val="none"/>
          <w:lang w:val="zh-CN"/>
        </w:rPr>
        <w:t>3.2 监测预警</w:t>
      </w:r>
      <w:bookmarkEnd w:id="106"/>
      <w:bookmarkEnd w:id="107"/>
      <w:bookmarkEnd w:id="108"/>
      <w:bookmarkEnd w:id="109"/>
      <w:bookmarkEnd w:id="110"/>
      <w:bookmarkEnd w:id="111"/>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大部分辐射事故属于不可预见的事故灾难，无法进行事故预警，但可以通过监测进行动态风险评估，对于潜在辐射事故风险较大的单位或活动，可以提出整治要求。</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bookmarkStart w:id="112" w:name="_Toc1064052016"/>
      <w:r>
        <w:rPr>
          <w:rFonts w:hint="eastAsia" w:ascii="仿宋_GB2312" w:hAnsi="仿宋_GB2312" w:eastAsia="仿宋_GB2312" w:cs="仿宋_GB2312"/>
          <w:sz w:val="32"/>
          <w:szCs w:val="32"/>
        </w:rPr>
        <w:t>市生态环境局根据实际情况针对辐射事故风险源潜在风险大小，建立辐射风险源监测预警系统，采用物联网、人工智能、大数据等先进技术手段，按照潜在风险大小，对辐射风险源进行监控并开展辐射风险等级量化评估。对于潜在事故风险等级高的设施或活动，实施监测预警；组织建设核技术利用单位重点辐射源监控系统，对重点辐射源辐射事故风险进行实时动态监管及监测预警。对于存在重大及以上辐射事故风险的重点辐射污染源，应建立实时在线辐射监测预警系统，对辐射事故风险进行实时动态评估。</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宣传、网信部门建立</w:t>
      </w:r>
      <w:r>
        <w:rPr>
          <w:rFonts w:hint="eastAsia" w:ascii="仿宋_GB2312" w:hAnsi="仿宋_GB2312" w:eastAsia="仿宋_GB2312" w:cs="仿宋_GB2312"/>
          <w:b w:val="0"/>
          <w:sz w:val="32"/>
          <w:szCs w:val="32"/>
          <w:lang w:val="en-US" w:eastAsia="zh-CN"/>
        </w:rPr>
        <w:t>辐射事故</w:t>
      </w:r>
      <w:r>
        <w:rPr>
          <w:rFonts w:hint="eastAsia" w:ascii="仿宋_GB2312" w:hAnsi="仿宋_GB2312" w:eastAsia="仿宋_GB2312" w:cs="仿宋_GB2312"/>
          <w:b w:val="0"/>
          <w:sz w:val="32"/>
          <w:szCs w:val="32"/>
        </w:rPr>
        <w:t>舆情快速收集研判机制，及时收集媒体对本市</w:t>
      </w:r>
      <w:r>
        <w:rPr>
          <w:rFonts w:hint="eastAsia" w:ascii="仿宋_GB2312" w:hAnsi="仿宋_GB2312" w:eastAsia="仿宋_GB2312" w:cs="仿宋_GB2312"/>
          <w:b w:val="0"/>
          <w:sz w:val="32"/>
          <w:szCs w:val="32"/>
          <w:lang w:val="en-US" w:eastAsia="zh-CN"/>
        </w:rPr>
        <w:t>辐射事故</w:t>
      </w:r>
      <w:r>
        <w:rPr>
          <w:rFonts w:hint="eastAsia" w:ascii="仿宋_GB2312" w:hAnsi="仿宋_GB2312" w:eastAsia="仿宋_GB2312" w:cs="仿宋_GB2312"/>
          <w:b w:val="0"/>
          <w:sz w:val="32"/>
          <w:szCs w:val="32"/>
        </w:rPr>
        <w:t>和有关敏感问题的报道，密切跟踪舆情动态。</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113" w:name="_Toc6025"/>
      <w:bookmarkStart w:id="114" w:name="_Toc11581"/>
      <w:bookmarkStart w:id="115" w:name="_Toc27226"/>
      <w:bookmarkStart w:id="116" w:name="_Toc18996"/>
      <w:bookmarkStart w:id="117" w:name="_Toc12401"/>
      <w:r>
        <w:rPr>
          <w:rFonts w:hint="eastAsia" w:ascii="楷体_GB2312" w:hAnsi="楷体" w:eastAsia="楷体_GB2312" w:cs="Times New Roman"/>
          <w:b w:val="0"/>
          <w:bCs/>
          <w:color w:val="auto"/>
          <w:kern w:val="32"/>
          <w:sz w:val="32"/>
          <w:szCs w:val="28"/>
          <w:highlight w:val="none"/>
          <w:u w:val="none"/>
          <w:lang w:val="zh-CN" w:eastAsia="zh-CN"/>
        </w:rPr>
        <w:t>3.3</w:t>
      </w:r>
      <w:r>
        <w:rPr>
          <w:rFonts w:hint="eastAsia" w:ascii="楷体_GB2312" w:hAnsi="楷体" w:eastAsia="楷体_GB2312" w:cs="Times New Roman"/>
          <w:b w:val="0"/>
          <w:bCs/>
          <w:color w:val="auto"/>
          <w:kern w:val="32"/>
          <w:sz w:val="32"/>
          <w:szCs w:val="28"/>
          <w:highlight w:val="none"/>
          <w:u w:val="none"/>
          <w:lang w:val="en-US" w:eastAsia="zh-CN"/>
        </w:rPr>
        <w:t xml:space="preserve"> </w:t>
      </w:r>
      <w:r>
        <w:rPr>
          <w:rFonts w:hint="eastAsia" w:ascii="楷体_GB2312" w:hAnsi="楷体" w:eastAsia="楷体_GB2312" w:cs="Times New Roman"/>
          <w:b w:val="0"/>
          <w:bCs/>
          <w:color w:val="auto"/>
          <w:kern w:val="32"/>
          <w:sz w:val="32"/>
          <w:szCs w:val="28"/>
          <w:highlight w:val="none"/>
          <w:u w:val="none"/>
          <w:lang w:val="zh-CN"/>
        </w:rPr>
        <w:t>应急响应</w:t>
      </w:r>
      <w:bookmarkEnd w:id="99"/>
      <w:bookmarkEnd w:id="112"/>
      <w:bookmarkEnd w:id="113"/>
      <w:bookmarkEnd w:id="114"/>
      <w:bookmarkEnd w:id="115"/>
      <w:bookmarkEnd w:id="116"/>
      <w:bookmarkEnd w:id="117"/>
    </w:p>
    <w:p>
      <w:pPr>
        <w:keepNext/>
        <w:keepLines/>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楷体_GB2312" w:hAnsi="楷体" w:eastAsia="楷体_GB2312" w:cs="Times New Roman"/>
          <w:b w:val="0"/>
          <w:bCs/>
          <w:color w:val="auto"/>
          <w:kern w:val="32"/>
          <w:sz w:val="32"/>
          <w:szCs w:val="28"/>
          <w:highlight w:val="none"/>
          <w:u w:val="none"/>
          <w:lang w:val="zh-CN"/>
        </w:rPr>
      </w:pPr>
      <w:bookmarkStart w:id="118" w:name="_Toc1718558671"/>
      <w:bookmarkStart w:id="119" w:name="_Toc12148"/>
      <w:bookmarkStart w:id="120" w:name="_Toc25866"/>
      <w:bookmarkStart w:id="121" w:name="_Toc3275"/>
      <w:bookmarkStart w:id="122" w:name="_Toc117777752"/>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rPr>
        <w:t>.1</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b/>
          <w:bCs w:val="0"/>
          <w:color w:val="auto"/>
          <w:kern w:val="32"/>
          <w:sz w:val="32"/>
          <w:szCs w:val="28"/>
          <w:highlight w:val="none"/>
          <w:u w:val="none"/>
          <w:lang w:val="zh-CN"/>
        </w:rPr>
        <w:t>信息</w:t>
      </w:r>
      <w:bookmarkEnd w:id="118"/>
      <w:bookmarkEnd w:id="119"/>
      <w:bookmarkEnd w:id="120"/>
      <w:bookmarkEnd w:id="121"/>
      <w:bookmarkEnd w:id="122"/>
      <w:r>
        <w:rPr>
          <w:rFonts w:hint="eastAsia" w:ascii="仿宋_GB2312" w:hAnsi="仿宋_GB2312" w:eastAsia="仿宋_GB2312" w:cs="仿宋_GB2312"/>
          <w:b/>
          <w:bCs w:val="0"/>
          <w:color w:val="auto"/>
          <w:kern w:val="32"/>
          <w:sz w:val="32"/>
          <w:szCs w:val="28"/>
          <w:highlight w:val="none"/>
          <w:u w:val="none"/>
          <w:lang w:val="en-US" w:eastAsia="zh-CN"/>
        </w:rPr>
        <w:t>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初报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市核与辐射事故应急指挥部办公室接到事故报告或通报信息，核实事故信息真实性，</w:t>
      </w:r>
      <w:r>
        <w:rPr>
          <w:rFonts w:hint="eastAsia" w:ascii="仿宋_GB2312" w:hAnsi="仿宋_GB2312" w:eastAsia="仿宋_GB2312" w:cs="仿宋_GB2312"/>
          <w:sz w:val="32"/>
          <w:szCs w:val="32"/>
          <w:lang w:val="en-US" w:eastAsia="zh-CN"/>
        </w:rPr>
        <w:t>及时对事态的真实性、严重性、可控性和紧迫性进行研判，</w:t>
      </w:r>
      <w:r>
        <w:rPr>
          <w:rFonts w:hint="eastAsia" w:ascii="仿宋_GB2312" w:hAnsi="仿宋_GB2312" w:eastAsia="仿宋_GB2312" w:cs="仿宋_GB2312"/>
          <w:sz w:val="32"/>
          <w:szCs w:val="32"/>
        </w:rPr>
        <w:t>经市核与辐射事故应急指挥部副总指挥（市生态环境局局长）批准后，按下列时限报告辐射事故信息：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初步认定为特别重大、重大辐射事故，30分钟内向市委值班室（电话：0755-88133333）、市政府值班室（电话：0755-82003399）、市应急委办值班室（电话：0755-88100100）和省生态环境厅（020-87539994）报告</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初步认定为较大、一般辐射事故，60分钟内向市委值班室、市政府值班室、市应急委办值班室和省生态环境厅报告。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但经确认该事故已经发生，已达到本预案3.9规定的应急响应终止条件的，经市核与辐射事故应急指挥部副总指挥（市生态环境局局长）同意，不必全面启动本应急预案，直接进入后期处置环节，由市生态环境局牵头会同相关成员单位调查处理，并将事故调查处理结果及时上报市核与辐射事故应急指挥部、省生态环境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到市委值班室、市政府值班室、市应急委办值班室要求电话核报的辐射事故信息，事发地区政府和市生态环境局要通过各种渠道迅速核实，按照时限要求反馈相关情况。原则上，电话反馈时间不得超过15分钟；要求书面核报的信息，反馈时间不得超过30分钟。如遇特殊情况确实无法按要求时间核报，应在规定时间内及时解释原因，并继续做好相关工作。初报格式见附件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续报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续报是在初报的基础上以书面形式报告有关确切的数据。续报可通过网络上报或书面报告，其主要内容包括：在初报的基础上，报告有关辐射事故的确切信息，如辐射事故原因、事故级别、放射源或射线装置信息、辐射污染和事故应急处置情况等。续报格式见附件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总结报告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结报告在应急响应终止后上报。总结报告是书面报告，其主要内容包括：辐射事故原因、过程、放射源类型、污染程度和范围，采取的应急措施与效果，污染源的安全状态，人员受照射和医学处理情况，居民避迁、损失赔偿情况，受照剂量估算和健康评价，潜在或间接的危害，事故经验教训和社会影响，以及参加应急响应部门的工作情况，需开展的善后工作及责任追究建议等。总结报告格式见附件3。</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涉外事故报告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涉及港澳台侨、外籍人员，或影响到境外的辐射事故，需要向香港特别行政区政府、澳门特别行政区政府、台湾当局以及有关国家、地区、国际机构通报的，按照相关规定办理。</w:t>
      </w:r>
    </w:p>
    <w:p>
      <w:pPr>
        <w:keepNext/>
        <w:keepLines/>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bCs w:val="0"/>
          <w:color w:val="auto"/>
          <w:kern w:val="32"/>
          <w:sz w:val="32"/>
          <w:szCs w:val="28"/>
          <w:highlight w:val="none"/>
          <w:u w:val="none"/>
          <w:lang w:val="zh-CN"/>
        </w:rPr>
      </w:pPr>
      <w:bookmarkStart w:id="123" w:name="_Toc8595"/>
      <w:bookmarkStart w:id="124" w:name="_Toc24789"/>
      <w:bookmarkStart w:id="125" w:name="_Toc488710104"/>
      <w:bookmarkStart w:id="126" w:name="_Toc29887"/>
      <w:bookmarkStart w:id="127" w:name="_Toc117777753"/>
      <w:r>
        <w:rPr>
          <w:rFonts w:hint="eastAsia" w:ascii="仿宋_GB2312" w:hAnsi="仿宋_GB2312" w:eastAsia="仿宋_GB2312" w:cs="仿宋_GB2312"/>
          <w:b/>
          <w:bCs w:val="0"/>
          <w:color w:val="auto"/>
          <w:kern w:val="32"/>
          <w:sz w:val="32"/>
          <w:szCs w:val="28"/>
          <w:highlight w:val="none"/>
          <w:u w:val="none"/>
          <w:lang w:val="en-US" w:eastAsia="zh-CN"/>
        </w:rPr>
        <w:t>3</w:t>
      </w:r>
      <w:r>
        <w:rPr>
          <w:rFonts w:hint="eastAsia" w:ascii="仿宋_GB2312" w:hAnsi="仿宋_GB2312" w:eastAsia="仿宋_GB2312" w:cs="仿宋_GB2312"/>
          <w:b/>
          <w:bCs w:val="0"/>
          <w:color w:val="auto"/>
          <w:kern w:val="32"/>
          <w:sz w:val="32"/>
          <w:szCs w:val="28"/>
          <w:highlight w:val="none"/>
          <w:u w:val="none"/>
          <w:lang w:val="zh-CN"/>
        </w:rPr>
        <w:t>.</w:t>
      </w:r>
      <w:r>
        <w:rPr>
          <w:rFonts w:hint="eastAsia" w:ascii="仿宋_GB2312" w:hAnsi="仿宋_GB2312" w:eastAsia="仿宋_GB2312" w:cs="仿宋_GB2312"/>
          <w:b/>
          <w:bCs w:val="0"/>
          <w:color w:val="auto"/>
          <w:kern w:val="32"/>
          <w:sz w:val="32"/>
          <w:szCs w:val="28"/>
          <w:highlight w:val="none"/>
          <w:u w:val="none"/>
          <w:lang w:val="en-US" w:eastAsia="zh-CN"/>
        </w:rPr>
        <w:t>3.</w:t>
      </w:r>
      <w:r>
        <w:rPr>
          <w:rFonts w:hint="eastAsia" w:ascii="仿宋_GB2312" w:hAnsi="仿宋_GB2312" w:eastAsia="仿宋_GB2312" w:cs="仿宋_GB2312"/>
          <w:b/>
          <w:bCs w:val="0"/>
          <w:color w:val="auto"/>
          <w:kern w:val="32"/>
          <w:sz w:val="32"/>
          <w:szCs w:val="28"/>
          <w:highlight w:val="none"/>
          <w:u w:val="none"/>
          <w:lang w:val="zh-CN"/>
        </w:rPr>
        <w:t>2</w:t>
      </w:r>
      <w:r>
        <w:rPr>
          <w:rFonts w:hint="eastAsia" w:ascii="仿宋_GB2312" w:hAnsi="仿宋_GB2312" w:eastAsia="仿宋_GB2312" w:cs="仿宋_GB2312"/>
          <w:b/>
          <w:bCs w:val="0"/>
          <w:color w:val="auto"/>
          <w:kern w:val="32"/>
          <w:sz w:val="32"/>
          <w:szCs w:val="28"/>
          <w:highlight w:val="none"/>
          <w:u w:val="none"/>
          <w:lang w:val="en-US" w:eastAsia="zh-CN"/>
        </w:rPr>
        <w:t xml:space="preserve"> </w:t>
      </w:r>
      <w:r>
        <w:rPr>
          <w:rFonts w:hint="eastAsia" w:ascii="仿宋_GB2312" w:hAnsi="仿宋_GB2312" w:eastAsia="仿宋_GB2312" w:cs="仿宋_GB2312"/>
          <w:b/>
          <w:bCs w:val="0"/>
          <w:color w:val="auto"/>
          <w:kern w:val="32"/>
          <w:sz w:val="32"/>
          <w:szCs w:val="28"/>
          <w:highlight w:val="none"/>
          <w:u w:val="none"/>
          <w:lang w:val="zh-CN"/>
        </w:rPr>
        <w:t>先期处置</w:t>
      </w:r>
      <w:bookmarkEnd w:id="123"/>
      <w:bookmarkEnd w:id="124"/>
      <w:bookmarkEnd w:id="125"/>
      <w:bookmarkEnd w:id="126"/>
      <w:bookmarkEnd w:id="12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事发单位应第一时间启动本单位的辐射事故应急</w:t>
      </w:r>
      <w:r>
        <w:rPr>
          <w:rFonts w:hint="eastAsia" w:ascii="仿宋_GB2312" w:hAnsi="仿宋_GB2312" w:eastAsia="仿宋_GB2312" w:cs="仿宋_GB2312"/>
          <w:sz w:val="32"/>
          <w:szCs w:val="32"/>
          <w:lang w:val="en-US" w:eastAsia="zh-CN"/>
        </w:rPr>
        <w:t>预案或处置</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val="en-US" w:eastAsia="zh-CN"/>
        </w:rPr>
        <w:t>做好人员防护，</w:t>
      </w:r>
      <w:r>
        <w:rPr>
          <w:rFonts w:hint="eastAsia" w:ascii="仿宋_GB2312" w:hAnsi="仿宋_GB2312" w:eastAsia="仿宋_GB2312" w:cs="仿宋_GB2312"/>
          <w:sz w:val="32"/>
          <w:szCs w:val="32"/>
        </w:rPr>
        <w:t>实施先期处置，控制事态，同时向事发地区政府及生态环境、公安或卫生健康主管部门报告辐射事故信息。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事发地区政府应组织力量实施先期处置，包括标明危险区域，封锁危险场所、疏散受威胁的人员、及时上报事故信息和采取其他防止危害扩大的紧急措施。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对于重大、特别重大辐射事故，市核与辐射事故应急指挥部启动本预案实施先期处置，组织力量对受污染区域、进出该区域的人员进行全过程动态监测，掌握辐射污染变化趋势，及时向上级报告事故相关信息。</w:t>
      </w:r>
    </w:p>
    <w:p>
      <w:pPr>
        <w:keepNext/>
        <w:keepLines/>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楷体_GB2312" w:hAnsi="楷体" w:eastAsia="楷体_GB2312" w:cs="Times New Roman"/>
          <w:bCs/>
          <w:color w:val="auto"/>
          <w:kern w:val="32"/>
          <w:sz w:val="32"/>
          <w:szCs w:val="28"/>
          <w:highlight w:val="none"/>
          <w:u w:val="none"/>
          <w:lang w:val="zh-CN" w:eastAsia="zh-CN"/>
        </w:rPr>
      </w:pPr>
      <w:bookmarkStart w:id="128" w:name="_Toc15036"/>
      <w:bookmarkStart w:id="129" w:name="_Toc2714"/>
      <w:bookmarkStart w:id="130" w:name="_Toc24995"/>
      <w:r>
        <w:rPr>
          <w:rFonts w:hint="eastAsia" w:ascii="仿宋_GB2312" w:hAnsi="仿宋_GB2312" w:eastAsia="仿宋_GB2312" w:cs="仿宋_GB2312"/>
          <w:b/>
          <w:bCs w:val="0"/>
          <w:color w:val="auto"/>
          <w:kern w:val="32"/>
          <w:sz w:val="32"/>
          <w:szCs w:val="28"/>
          <w:highlight w:val="none"/>
          <w:u w:val="none"/>
          <w:lang w:val="en-US" w:eastAsia="zh-CN"/>
        </w:rPr>
        <w:t>3</w:t>
      </w:r>
      <w:r>
        <w:rPr>
          <w:rFonts w:hint="eastAsia" w:ascii="仿宋_GB2312" w:hAnsi="仿宋_GB2312" w:eastAsia="仿宋_GB2312" w:cs="仿宋_GB2312"/>
          <w:b/>
          <w:bCs w:val="0"/>
          <w:color w:val="auto"/>
          <w:kern w:val="32"/>
          <w:sz w:val="32"/>
          <w:szCs w:val="28"/>
          <w:highlight w:val="none"/>
          <w:u w:val="none"/>
          <w:lang w:val="zh-CN" w:eastAsia="zh-CN"/>
        </w:rPr>
        <w:t>.</w:t>
      </w:r>
      <w:r>
        <w:rPr>
          <w:rFonts w:hint="eastAsia" w:ascii="仿宋_GB2312" w:hAnsi="仿宋_GB2312" w:eastAsia="仿宋_GB2312" w:cs="仿宋_GB2312"/>
          <w:b/>
          <w:bCs w:val="0"/>
          <w:color w:val="auto"/>
          <w:kern w:val="32"/>
          <w:sz w:val="32"/>
          <w:szCs w:val="28"/>
          <w:highlight w:val="none"/>
          <w:u w:val="none"/>
          <w:lang w:val="en-US" w:eastAsia="zh-CN"/>
        </w:rPr>
        <w:t>3.</w:t>
      </w:r>
      <w:r>
        <w:rPr>
          <w:rFonts w:hint="eastAsia" w:ascii="仿宋_GB2312" w:hAnsi="仿宋_GB2312" w:eastAsia="仿宋_GB2312" w:cs="仿宋_GB2312"/>
          <w:b/>
          <w:bCs w:val="0"/>
          <w:color w:val="auto"/>
          <w:kern w:val="32"/>
          <w:sz w:val="32"/>
          <w:szCs w:val="28"/>
          <w:highlight w:val="none"/>
          <w:u w:val="none"/>
          <w:lang w:val="zh-CN" w:eastAsia="zh-CN"/>
        </w:rPr>
        <w:t>3</w:t>
      </w:r>
      <w:r>
        <w:rPr>
          <w:rFonts w:hint="eastAsia" w:ascii="仿宋_GB2312" w:hAnsi="仿宋_GB2312" w:eastAsia="仿宋_GB2312" w:cs="仿宋_GB2312"/>
          <w:b/>
          <w:bCs w:val="0"/>
          <w:color w:val="auto"/>
          <w:kern w:val="32"/>
          <w:sz w:val="32"/>
          <w:szCs w:val="28"/>
          <w:highlight w:val="none"/>
          <w:u w:val="none"/>
          <w:lang w:val="en-US" w:eastAsia="zh-CN"/>
        </w:rPr>
        <w:t xml:space="preserve"> </w:t>
      </w:r>
      <w:r>
        <w:rPr>
          <w:rFonts w:hint="eastAsia" w:ascii="仿宋_GB2312" w:hAnsi="仿宋_GB2312" w:eastAsia="仿宋_GB2312" w:cs="仿宋_GB2312"/>
          <w:b/>
          <w:bCs w:val="0"/>
          <w:color w:val="auto"/>
          <w:kern w:val="32"/>
          <w:sz w:val="32"/>
          <w:szCs w:val="28"/>
          <w:highlight w:val="none"/>
          <w:u w:val="none"/>
          <w:lang w:val="zh-CN" w:eastAsia="zh-CN"/>
        </w:rPr>
        <w:t>分级应对</w:t>
      </w:r>
      <w:bookmarkEnd w:id="128"/>
      <w:bookmarkEnd w:id="129"/>
      <w:bookmarkEnd w:id="130"/>
    </w:p>
    <w:p>
      <w:pPr>
        <w:widowControl/>
        <w:numPr>
          <w:ilvl w:val="0"/>
          <w:numId w:val="0"/>
        </w:numPr>
        <w:spacing w:line="560" w:lineRule="exact"/>
        <w:ind w:firstLine="640" w:firstLineChars="200"/>
        <w:jc w:val="left"/>
        <w:rPr>
          <w:rFonts w:hint="default" w:ascii="Arial" w:hAnsi="Arial" w:eastAsia="仿宋_GB2312" w:cs="Arial"/>
          <w:color w:val="auto"/>
          <w:kern w:val="32"/>
          <w:sz w:val="32"/>
          <w:szCs w:val="20"/>
          <w:highlight w:val="none"/>
          <w:u w:val="none"/>
          <w:lang w:val="en-US" w:eastAsia="zh-CN" w:bidi="ar-SA"/>
        </w:rPr>
      </w:pPr>
      <w:r>
        <w:rPr>
          <w:rFonts w:hint="eastAsia" w:ascii="Arial" w:hAnsi="Arial" w:eastAsia="仿宋_GB2312" w:cs="Arial"/>
          <w:color w:val="auto"/>
          <w:kern w:val="32"/>
          <w:sz w:val="32"/>
          <w:szCs w:val="20"/>
          <w:highlight w:val="none"/>
          <w:u w:val="none"/>
          <w:lang w:val="en-US" w:eastAsia="zh-CN" w:bidi="ar-SA"/>
        </w:rPr>
        <w:t>一般辐射事故</w:t>
      </w:r>
      <w:r>
        <w:rPr>
          <w:rFonts w:hint="eastAsia" w:ascii="仿宋_GB2312" w:hAnsi="仿宋_GB2312" w:eastAsia="仿宋_GB2312" w:cs="仿宋_GB2312"/>
          <w:sz w:val="32"/>
          <w:szCs w:val="32"/>
          <w:lang w:val="en-US" w:eastAsia="zh-CN"/>
        </w:rPr>
        <w:t>，</w:t>
      </w:r>
      <w:r>
        <w:rPr>
          <w:rFonts w:hint="eastAsia" w:ascii="Arial" w:hAnsi="Arial" w:eastAsia="仿宋_GB2312" w:cs="Arial"/>
          <w:color w:val="auto"/>
          <w:kern w:val="32"/>
          <w:sz w:val="32"/>
          <w:szCs w:val="20"/>
          <w:highlight w:val="none"/>
          <w:u w:val="none"/>
          <w:lang w:val="en-US" w:eastAsia="zh-CN" w:bidi="ar-SA"/>
        </w:rPr>
        <w:t>原则上由区人民政府负责应对；根据事故处置的需要，</w:t>
      </w:r>
      <w:r>
        <w:rPr>
          <w:rFonts w:hint="eastAsia" w:ascii="仿宋_GB2312" w:hAnsi="仿宋_GB2312" w:eastAsia="仿宋_GB2312" w:cs="仿宋_GB2312"/>
          <w:sz w:val="32"/>
          <w:szCs w:val="32"/>
        </w:rPr>
        <w:t>市核与辐射事故应急指挥部</w:t>
      </w:r>
      <w:r>
        <w:rPr>
          <w:rFonts w:hint="eastAsia" w:ascii="Arial" w:hAnsi="Arial" w:eastAsia="仿宋_GB2312" w:cs="Arial"/>
          <w:color w:val="auto"/>
          <w:kern w:val="32"/>
          <w:sz w:val="32"/>
          <w:szCs w:val="20"/>
          <w:highlight w:val="none"/>
          <w:u w:val="none"/>
          <w:lang w:val="en-US" w:eastAsia="zh-CN" w:bidi="ar-SA"/>
        </w:rPr>
        <w:t>提供指导、支援或者负责应对；涉及跨区的一般辐射事故，由</w:t>
      </w:r>
      <w:r>
        <w:rPr>
          <w:rFonts w:hint="eastAsia" w:ascii="仿宋_GB2312" w:hAnsi="仿宋_GB2312" w:eastAsia="仿宋_GB2312" w:cs="仿宋_GB2312"/>
          <w:sz w:val="32"/>
          <w:szCs w:val="32"/>
        </w:rPr>
        <w:t>市核与辐射事故应急指挥部</w:t>
      </w:r>
      <w:r>
        <w:rPr>
          <w:rFonts w:hint="eastAsia" w:ascii="Arial" w:hAnsi="Arial" w:eastAsia="仿宋_GB2312" w:cs="Arial"/>
          <w:color w:val="auto"/>
          <w:kern w:val="32"/>
          <w:sz w:val="32"/>
          <w:szCs w:val="20"/>
          <w:highlight w:val="none"/>
          <w:u w:val="none"/>
          <w:lang w:val="en-US" w:eastAsia="zh-CN" w:bidi="ar-SA"/>
        </w:rPr>
        <w:t>负责协调处置。</w:t>
      </w:r>
    </w:p>
    <w:p>
      <w:pPr>
        <w:widowControl w:val="0"/>
        <w:spacing w:line="560" w:lineRule="exact"/>
        <w:ind w:firstLine="640"/>
        <w:jc w:val="both"/>
        <w:rPr>
          <w:rFonts w:ascii="Arial" w:hAnsi="Arial" w:eastAsia="仿宋_GB2312" w:cs="Arial"/>
          <w:color w:val="auto"/>
          <w:kern w:val="32"/>
          <w:sz w:val="32"/>
          <w:szCs w:val="20"/>
          <w:highlight w:val="none"/>
          <w:u w:val="none"/>
          <w:lang w:val="en-US" w:eastAsia="zh-CN" w:bidi="ar-SA"/>
        </w:rPr>
      </w:pPr>
      <w:r>
        <w:rPr>
          <w:rFonts w:hint="eastAsia" w:ascii="Arial" w:hAnsi="Arial" w:eastAsia="仿宋_GB2312" w:cs="Arial"/>
          <w:color w:val="auto"/>
          <w:kern w:val="32"/>
          <w:sz w:val="32"/>
          <w:szCs w:val="20"/>
          <w:highlight w:val="none"/>
          <w:u w:val="none"/>
          <w:lang w:val="en-US" w:eastAsia="zh-CN" w:bidi="ar-SA"/>
        </w:rPr>
        <w:t>较大辐射事故原则上在市人民政府的领导下由</w:t>
      </w:r>
      <w:r>
        <w:rPr>
          <w:rFonts w:hint="eastAsia" w:ascii="仿宋_GB2312" w:hAnsi="仿宋_GB2312" w:eastAsia="仿宋_GB2312" w:cs="仿宋_GB2312"/>
          <w:sz w:val="32"/>
          <w:szCs w:val="32"/>
        </w:rPr>
        <w:t>市核与辐射事故应急指挥部</w:t>
      </w:r>
      <w:r>
        <w:rPr>
          <w:rFonts w:hint="eastAsia" w:ascii="仿宋_GB2312" w:hAnsi="仿宋_GB2312" w:eastAsia="仿宋_GB2312" w:cs="仿宋_GB2312"/>
          <w:sz w:val="32"/>
          <w:szCs w:val="32"/>
          <w:lang w:val="en-US" w:eastAsia="zh-CN"/>
        </w:rPr>
        <w:t>开展</w:t>
      </w:r>
      <w:r>
        <w:rPr>
          <w:rFonts w:hint="eastAsia" w:ascii="Arial" w:hAnsi="Arial" w:eastAsia="仿宋_GB2312" w:cs="Arial"/>
          <w:color w:val="auto"/>
          <w:kern w:val="32"/>
          <w:sz w:val="32"/>
          <w:szCs w:val="20"/>
          <w:highlight w:val="none"/>
          <w:u w:val="none"/>
          <w:lang w:val="en-US" w:eastAsia="zh-CN" w:bidi="ar-SA"/>
        </w:rPr>
        <w:t>应对工作，涉及跨市的较大辐射事故，提请省人民政府或省级应急指挥机构指导开展应对工作。</w:t>
      </w:r>
    </w:p>
    <w:p>
      <w:pPr>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eastAsia" w:ascii="Arial" w:hAnsi="Arial" w:eastAsia="仿宋_GB2312" w:cs="Arial"/>
          <w:color w:val="auto"/>
          <w:kern w:val="32"/>
          <w:sz w:val="32"/>
          <w:szCs w:val="20"/>
          <w:highlight w:val="none"/>
          <w:u w:val="none"/>
          <w:lang w:val="en-US" w:eastAsia="zh-CN" w:bidi="ar-SA"/>
        </w:rPr>
      </w:pPr>
      <w:r>
        <w:rPr>
          <w:rFonts w:hint="eastAsia" w:ascii="Arial" w:hAnsi="Arial" w:eastAsia="仿宋_GB2312" w:cs="Arial"/>
          <w:color w:val="auto"/>
          <w:kern w:val="32"/>
          <w:sz w:val="32"/>
          <w:szCs w:val="20"/>
          <w:highlight w:val="none"/>
          <w:u w:val="none"/>
          <w:lang w:val="en-US" w:eastAsia="zh-CN" w:bidi="ar-SA"/>
        </w:rPr>
        <w:t>重大、特别重大辐射事故在上级应急指挥机构的统一领导下开展应对工作。</w:t>
      </w:r>
    </w:p>
    <w:p>
      <w:pPr>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eastAsia" w:ascii="Arial" w:hAnsi="Arial" w:eastAsia="仿宋_GB2312" w:cs="Arial"/>
          <w:color w:val="auto"/>
          <w:kern w:val="32"/>
          <w:sz w:val="32"/>
          <w:szCs w:val="20"/>
          <w:highlight w:val="none"/>
          <w:u w:val="none"/>
        </w:rPr>
      </w:pPr>
      <w:r>
        <w:rPr>
          <w:rFonts w:hint="eastAsia" w:ascii="仿宋_GB2312" w:hAnsi="仿宋_GB2312" w:eastAsia="仿宋_GB2312" w:cs="仿宋_GB2312"/>
          <w:sz w:val="32"/>
          <w:szCs w:val="32"/>
          <w:lang w:val="en-US" w:eastAsia="zh-CN"/>
        </w:rPr>
        <w:t>未达到辐射事故分级标准的事件或案件，</w:t>
      </w:r>
      <w:r>
        <w:rPr>
          <w:rFonts w:hint="eastAsia" w:ascii="Arial" w:hAnsi="Arial" w:eastAsia="仿宋_GB2312" w:cs="Arial"/>
          <w:color w:val="auto"/>
          <w:kern w:val="32"/>
          <w:sz w:val="32"/>
          <w:szCs w:val="20"/>
          <w:highlight w:val="none"/>
          <w:u w:val="none"/>
          <w:lang w:val="en-US" w:eastAsia="zh-CN" w:bidi="ar-SA"/>
        </w:rPr>
        <w:t>原则上由区人民政府负责应对，根据事件处置的需要，</w:t>
      </w:r>
      <w:r>
        <w:rPr>
          <w:rFonts w:hint="eastAsia" w:ascii="仿宋_GB2312" w:hAnsi="仿宋_GB2312" w:eastAsia="仿宋_GB2312" w:cs="仿宋_GB2312"/>
          <w:sz w:val="32"/>
          <w:szCs w:val="32"/>
        </w:rPr>
        <w:t>市核与辐射事故应急指挥部</w:t>
      </w:r>
      <w:r>
        <w:rPr>
          <w:rFonts w:hint="eastAsia" w:ascii="Arial" w:hAnsi="Arial" w:eastAsia="仿宋_GB2312" w:cs="Arial"/>
          <w:color w:val="auto"/>
          <w:kern w:val="32"/>
          <w:sz w:val="32"/>
          <w:szCs w:val="20"/>
          <w:highlight w:val="none"/>
          <w:u w:val="none"/>
          <w:lang w:val="en-US" w:eastAsia="zh-CN" w:bidi="ar-SA"/>
        </w:rPr>
        <w:t>提供指导、支援。</w:t>
      </w:r>
    </w:p>
    <w:p>
      <w:pPr>
        <w:keepNext/>
        <w:keepLines/>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楷体_GB2312" w:hAnsi="楷体" w:eastAsia="楷体_GB2312" w:cs="Times New Roman"/>
          <w:b w:val="0"/>
          <w:bCs/>
          <w:color w:val="auto"/>
          <w:kern w:val="32"/>
          <w:sz w:val="32"/>
          <w:szCs w:val="28"/>
          <w:highlight w:val="none"/>
          <w:u w:val="none"/>
          <w:lang w:val="zh-CN"/>
        </w:rPr>
      </w:pPr>
      <w:bookmarkStart w:id="131" w:name="_Toc2108740138"/>
      <w:bookmarkStart w:id="132" w:name="_Toc117777754"/>
      <w:bookmarkStart w:id="133" w:name="_Toc32725"/>
      <w:bookmarkStart w:id="134" w:name="_Toc21587"/>
      <w:bookmarkStart w:id="135" w:name="_Toc27685"/>
      <w:r>
        <w:rPr>
          <w:rFonts w:hint="eastAsia" w:ascii="仿宋_GB2312" w:hAnsi="仿宋_GB2312" w:eastAsia="仿宋_GB2312" w:cs="仿宋_GB2312"/>
          <w:b/>
          <w:bCs w:val="0"/>
          <w:color w:val="auto"/>
          <w:kern w:val="32"/>
          <w:sz w:val="32"/>
          <w:szCs w:val="28"/>
          <w:highlight w:val="none"/>
          <w:u w:val="none"/>
          <w:lang w:val="en-US" w:eastAsia="zh-CN"/>
        </w:rPr>
        <w:t>3</w:t>
      </w:r>
      <w:r>
        <w:rPr>
          <w:rFonts w:hint="eastAsia" w:ascii="仿宋_GB2312" w:hAnsi="仿宋_GB2312" w:eastAsia="仿宋_GB2312" w:cs="仿宋_GB2312"/>
          <w:b/>
          <w:bCs w:val="0"/>
          <w:color w:val="auto"/>
          <w:kern w:val="32"/>
          <w:sz w:val="32"/>
          <w:szCs w:val="28"/>
          <w:highlight w:val="none"/>
          <w:u w:val="none"/>
          <w:lang w:val="zh-CN" w:eastAsia="zh-CN"/>
        </w:rPr>
        <w:t>.</w:t>
      </w:r>
      <w:r>
        <w:rPr>
          <w:rFonts w:hint="eastAsia" w:ascii="仿宋_GB2312" w:hAnsi="仿宋_GB2312" w:eastAsia="仿宋_GB2312" w:cs="仿宋_GB2312"/>
          <w:b/>
          <w:bCs w:val="0"/>
          <w:color w:val="auto"/>
          <w:kern w:val="32"/>
          <w:sz w:val="32"/>
          <w:szCs w:val="28"/>
          <w:highlight w:val="none"/>
          <w:u w:val="none"/>
          <w:lang w:val="en-US" w:eastAsia="zh-CN"/>
        </w:rPr>
        <w:t xml:space="preserve">3.4 </w:t>
      </w:r>
      <w:r>
        <w:rPr>
          <w:rFonts w:hint="eastAsia" w:ascii="仿宋_GB2312" w:hAnsi="仿宋_GB2312" w:eastAsia="仿宋_GB2312" w:cs="仿宋_GB2312"/>
          <w:b/>
          <w:bCs w:val="0"/>
          <w:color w:val="auto"/>
          <w:kern w:val="32"/>
          <w:sz w:val="32"/>
          <w:szCs w:val="28"/>
          <w:highlight w:val="none"/>
          <w:u w:val="none"/>
          <w:lang w:val="zh-CN"/>
        </w:rPr>
        <w:t>响应</w:t>
      </w:r>
      <w:bookmarkEnd w:id="131"/>
      <w:bookmarkEnd w:id="132"/>
      <w:r>
        <w:rPr>
          <w:rFonts w:hint="eastAsia" w:ascii="仿宋_GB2312" w:hAnsi="仿宋_GB2312" w:eastAsia="仿宋_GB2312" w:cs="仿宋_GB2312"/>
          <w:b/>
          <w:bCs w:val="0"/>
          <w:color w:val="auto"/>
          <w:kern w:val="32"/>
          <w:sz w:val="32"/>
          <w:szCs w:val="28"/>
          <w:highlight w:val="none"/>
          <w:u w:val="none"/>
          <w:lang w:val="zh-CN"/>
        </w:rPr>
        <w:t>分级</w:t>
      </w:r>
      <w:bookmarkEnd w:id="133"/>
      <w:bookmarkEnd w:id="134"/>
      <w:bookmarkEnd w:id="135"/>
    </w:p>
    <w:p>
      <w:pPr>
        <w:widowControl w:val="0"/>
        <w:spacing w:line="560" w:lineRule="exact"/>
        <w:ind w:firstLine="640"/>
        <w:jc w:val="both"/>
        <w:rPr>
          <w:rFonts w:hint="eastAsia" w:ascii="楷体_GB2312" w:hAnsi="Times New Roman" w:eastAsia="仿宋_GB2312" w:cs="Times New Roman"/>
          <w:color w:val="auto"/>
          <w:kern w:val="24"/>
          <w:sz w:val="32"/>
          <w:szCs w:val="32"/>
          <w:highlight w:val="none"/>
          <w:u w:val="none"/>
          <w:lang w:val="en-US" w:eastAsia="zh-CN" w:bidi="ar-SA"/>
        </w:rPr>
      </w:pPr>
      <w:r>
        <w:rPr>
          <w:rFonts w:hint="eastAsia" w:ascii="仿宋_GB2312" w:hAnsi="仿宋_GB2312" w:eastAsia="仿宋_GB2312" w:cs="仿宋_GB2312"/>
          <w:color w:val="auto"/>
          <w:kern w:val="32"/>
          <w:sz w:val="32"/>
          <w:szCs w:val="32"/>
          <w:highlight w:val="none"/>
          <w:u w:val="none"/>
          <w:lang w:val="en-US" w:eastAsia="zh-CN" w:bidi="ar-SA"/>
        </w:rPr>
        <w:t>辐射事故发生后，市、区人民政府及有关部门、基层组织和单位根据辐射事故初判级别、应急处置能力、预期影响后果及其发展趋势，综合研判确定本层级响应级别，</w:t>
      </w:r>
      <w:r>
        <w:rPr>
          <w:rFonts w:hint="eastAsia" w:ascii="楷体_GB2312" w:hAnsi="Times New Roman" w:eastAsia="仿宋_GB2312" w:cs="Times New Roman"/>
          <w:color w:val="auto"/>
          <w:kern w:val="24"/>
          <w:sz w:val="32"/>
          <w:szCs w:val="32"/>
          <w:highlight w:val="none"/>
          <w:u w:val="none"/>
          <w:lang w:val="en-US" w:eastAsia="zh-CN" w:bidi="ar-SA"/>
        </w:rPr>
        <w:t>采取相应的应急处置措施。</w:t>
      </w:r>
    </w:p>
    <w:p>
      <w:pPr>
        <w:widowControl w:val="0"/>
        <w:spacing w:line="560" w:lineRule="exact"/>
        <w:ind w:firstLine="640"/>
        <w:jc w:val="both"/>
        <w:rPr>
          <w:rFonts w:ascii="仿宋_GB2312" w:hAnsi="仿宋_GB2312" w:eastAsia="仿宋_GB2312" w:cs="仿宋_GB2312"/>
          <w:color w:val="auto"/>
          <w:kern w:val="32"/>
          <w:sz w:val="32"/>
          <w:szCs w:val="32"/>
          <w:highlight w:val="none"/>
          <w:u w:val="none"/>
          <w:lang w:val="en-US" w:eastAsia="zh-CN" w:bidi="ar-SA"/>
        </w:rPr>
      </w:pPr>
      <w:r>
        <w:rPr>
          <w:rFonts w:hint="default" w:ascii="仿宋_GB2312" w:hAnsi="仿宋_GB2312" w:eastAsia="仿宋_GB2312" w:cs="仿宋_GB2312"/>
          <w:sz w:val="32"/>
          <w:szCs w:val="32"/>
          <w:lang w:val="en-US" w:eastAsia="zh-CN"/>
        </w:rPr>
        <w:t>市级层面</w:t>
      </w:r>
      <w:r>
        <w:rPr>
          <w:rFonts w:hint="eastAsia" w:ascii="仿宋_GB2312" w:hAnsi="仿宋_GB2312" w:eastAsia="仿宋_GB2312" w:cs="仿宋_GB2312"/>
          <w:sz w:val="32"/>
          <w:szCs w:val="32"/>
          <w:lang w:val="en-US" w:eastAsia="zh-CN"/>
        </w:rPr>
        <w:t>辐射事故</w:t>
      </w:r>
      <w:r>
        <w:rPr>
          <w:rFonts w:hint="default" w:ascii="仿宋_GB2312" w:hAnsi="仿宋_GB2312" w:eastAsia="仿宋_GB2312" w:cs="仿宋_GB2312"/>
          <w:sz w:val="32"/>
          <w:szCs w:val="32"/>
          <w:lang w:val="en-US" w:eastAsia="zh-CN"/>
        </w:rPr>
        <w:t>应急响应由高到低划分为一级（</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 1 \* ROMAN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I</w:t>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t>级）、二级（</w:t>
      </w:r>
      <w:r>
        <w:rPr>
          <w:rFonts w:hint="eastAsia" w:ascii="仿宋_GB2312" w:hAnsi="仿宋_GB2312" w:eastAsia="仿宋_GB2312" w:cs="仿宋_GB2312"/>
          <w:sz w:val="32"/>
          <w:szCs w:val="32"/>
          <w:lang w:val="en-US" w:eastAsia="zh-CN"/>
        </w:rPr>
        <w:t>Ⅱ</w:t>
      </w:r>
      <w:r>
        <w:rPr>
          <w:rFonts w:hint="default" w:ascii="仿宋_GB2312" w:hAnsi="仿宋_GB2312" w:eastAsia="仿宋_GB2312" w:cs="仿宋_GB2312"/>
          <w:sz w:val="32"/>
          <w:szCs w:val="32"/>
          <w:lang w:val="en-US" w:eastAsia="zh-CN"/>
        </w:rPr>
        <w:t>级）、三级（</w:t>
      </w:r>
      <w:r>
        <w:rPr>
          <w:rFonts w:hint="eastAsia" w:ascii="仿宋_GB2312" w:hAnsi="仿宋_GB2312" w:eastAsia="仿宋_GB2312" w:cs="仿宋_GB2312"/>
          <w:sz w:val="32"/>
          <w:szCs w:val="32"/>
          <w:lang w:val="en-US" w:eastAsia="zh-CN"/>
        </w:rPr>
        <w:t>Ⅲ</w:t>
      </w:r>
      <w:r>
        <w:rPr>
          <w:rFonts w:hint="default" w:ascii="仿宋_GB2312" w:hAnsi="仿宋_GB2312" w:eastAsia="仿宋_GB2312" w:cs="仿宋_GB2312"/>
          <w:sz w:val="32"/>
          <w:szCs w:val="32"/>
          <w:lang w:val="en-US" w:eastAsia="zh-CN"/>
        </w:rPr>
        <w:t>级）和四级（Ⅳ级）</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四级（Ⅳ级）</w:t>
      </w:r>
      <w:r>
        <w:rPr>
          <w:rFonts w:hint="eastAsia" w:ascii="仿宋_GB2312" w:hAnsi="仿宋_GB2312" w:eastAsia="仿宋_GB2312" w:cs="仿宋_GB2312"/>
          <w:sz w:val="32"/>
          <w:szCs w:val="32"/>
          <w:lang w:val="en-US" w:eastAsia="zh-CN"/>
        </w:rPr>
        <w:t>响应。</w:t>
      </w:r>
      <w:r>
        <w:rPr>
          <w:rFonts w:hint="default" w:ascii="仿宋_GB2312" w:hAnsi="仿宋_GB2312" w:eastAsia="仿宋_GB2312" w:cs="仿宋_GB2312"/>
          <w:sz w:val="32"/>
          <w:szCs w:val="32"/>
          <w:lang w:val="en-US" w:eastAsia="zh-CN"/>
        </w:rPr>
        <w:t>发生一般</w:t>
      </w:r>
      <w:r>
        <w:rPr>
          <w:rFonts w:hint="eastAsia" w:ascii="仿宋_GB2312" w:hAnsi="仿宋_GB2312" w:eastAsia="仿宋_GB2312" w:cs="仿宋_GB2312"/>
          <w:sz w:val="32"/>
          <w:szCs w:val="32"/>
          <w:lang w:val="en-US" w:eastAsia="zh-CN"/>
        </w:rPr>
        <w:t>辐射事故</w:t>
      </w:r>
      <w:r>
        <w:rPr>
          <w:rFonts w:hint="default" w:ascii="仿宋_GB2312" w:hAnsi="仿宋_GB2312" w:eastAsia="仿宋_GB2312" w:cs="仿宋_GB2312"/>
          <w:sz w:val="32"/>
          <w:szCs w:val="32"/>
          <w:lang w:val="en-US" w:eastAsia="zh-CN"/>
        </w:rPr>
        <w:t>，但事件本身较敏感，或事态发展有扩大趋势，或应</w:t>
      </w:r>
      <w:r>
        <w:rPr>
          <w:rFonts w:hint="eastAsia" w:ascii="仿宋_GB2312" w:hAnsi="仿宋_GB2312" w:eastAsia="仿宋_GB2312" w:cs="仿宋_GB2312"/>
          <w:sz w:val="32"/>
          <w:szCs w:val="32"/>
          <w:lang w:val="en-US" w:eastAsia="zh-CN"/>
        </w:rPr>
        <w:t>辖区</w:t>
      </w:r>
      <w:r>
        <w:rPr>
          <w:rFonts w:hint="default" w:ascii="仿宋_GB2312" w:hAnsi="仿宋_GB2312" w:eastAsia="仿宋_GB2312" w:cs="仿宋_GB2312"/>
          <w:sz w:val="32"/>
          <w:szCs w:val="32"/>
          <w:lang w:val="en-US" w:eastAsia="zh-CN"/>
        </w:rPr>
        <w:t>请求</w:t>
      </w:r>
      <w:r>
        <w:rPr>
          <w:rFonts w:hint="eastAsia" w:ascii="仿宋_GB2312" w:hAnsi="仿宋_GB2312" w:eastAsia="仿宋_GB2312" w:cs="仿宋_GB2312"/>
          <w:sz w:val="32"/>
          <w:szCs w:val="32"/>
          <w:lang w:val="en-US" w:eastAsia="zh-CN"/>
        </w:rPr>
        <w:t>，根据专家组研判后</w:t>
      </w:r>
      <w:r>
        <w:rPr>
          <w:rFonts w:hint="default" w:ascii="仿宋_GB2312" w:hAnsi="仿宋_GB2312" w:eastAsia="仿宋_GB2312" w:cs="仿宋_GB2312"/>
          <w:sz w:val="32"/>
          <w:szCs w:val="32"/>
          <w:lang w:val="en-US" w:eastAsia="zh-CN"/>
        </w:rPr>
        <w:t>，由市</w:t>
      </w:r>
      <w:r>
        <w:rPr>
          <w:rFonts w:hint="eastAsia" w:ascii="仿宋_GB2312" w:hAnsi="仿宋_GB2312" w:eastAsia="仿宋_GB2312" w:cs="仿宋_GB2312"/>
          <w:sz w:val="32"/>
          <w:szCs w:val="32"/>
          <w:lang w:val="en-US" w:eastAsia="zh-CN"/>
        </w:rPr>
        <w:t>生态环境局分管副局长决定</w:t>
      </w:r>
      <w:r>
        <w:rPr>
          <w:rFonts w:hint="default" w:ascii="仿宋_GB2312" w:hAnsi="仿宋_GB2312" w:eastAsia="仿宋_GB2312" w:cs="仿宋_GB2312"/>
          <w:sz w:val="32"/>
          <w:szCs w:val="32"/>
          <w:lang w:val="en-US" w:eastAsia="zh-CN"/>
        </w:rPr>
        <w:t>启动四级响应</w:t>
      </w:r>
      <w:r>
        <w:rPr>
          <w:rFonts w:hint="eastAsia" w:ascii="仿宋_GB2312" w:hAnsi="仿宋_GB2312" w:eastAsia="仿宋_GB2312" w:cs="仿宋_GB2312"/>
          <w:sz w:val="32"/>
          <w:szCs w:val="32"/>
          <w:lang w:val="en-US" w:eastAsia="zh-CN"/>
        </w:rPr>
        <w:t>，并赶赴现场给予指导和支援，现场由辖区政府区领导统筹指挥，按照辖区辐射事故应急预案做好应急处置工作。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三级（</w:t>
      </w:r>
      <w:r>
        <w:rPr>
          <w:rFonts w:hint="eastAsia" w:ascii="仿宋_GB2312" w:hAnsi="仿宋_GB2312" w:eastAsia="仿宋_GB2312" w:cs="仿宋_GB2312"/>
          <w:sz w:val="32"/>
          <w:szCs w:val="32"/>
          <w:lang w:val="en-US" w:eastAsia="zh-CN"/>
        </w:rPr>
        <w:t>Ⅲ</w:t>
      </w:r>
      <w:r>
        <w:rPr>
          <w:rFonts w:hint="default"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lang w:val="en-US" w:eastAsia="zh-CN"/>
        </w:rPr>
        <w:t>响应。</w:t>
      </w:r>
      <w:r>
        <w:rPr>
          <w:rFonts w:hint="default" w:ascii="仿宋_GB2312" w:hAnsi="仿宋_GB2312" w:eastAsia="仿宋_GB2312" w:cs="仿宋_GB2312"/>
          <w:sz w:val="32"/>
          <w:szCs w:val="32"/>
          <w:lang w:val="en-US" w:eastAsia="zh-CN"/>
        </w:rPr>
        <w:t>发生较大</w:t>
      </w:r>
      <w:r>
        <w:rPr>
          <w:rFonts w:hint="eastAsia" w:ascii="仿宋_GB2312" w:hAnsi="仿宋_GB2312" w:eastAsia="仿宋_GB2312" w:cs="仿宋_GB2312"/>
          <w:sz w:val="32"/>
          <w:szCs w:val="32"/>
          <w:lang w:val="en-US" w:eastAsia="zh-CN"/>
        </w:rPr>
        <w:t>辐射事故</w:t>
      </w:r>
      <w:r>
        <w:rPr>
          <w:rFonts w:hint="default" w:ascii="仿宋_GB2312" w:hAnsi="仿宋_GB2312" w:eastAsia="仿宋_GB2312" w:cs="仿宋_GB2312"/>
          <w:sz w:val="32"/>
          <w:szCs w:val="32"/>
          <w:lang w:val="en-US" w:eastAsia="zh-CN"/>
        </w:rPr>
        <w:t>，事件社会影响小，事态发展趋势可控</w:t>
      </w:r>
      <w:r>
        <w:rPr>
          <w:rFonts w:hint="eastAsia" w:ascii="仿宋_GB2312" w:hAnsi="仿宋_GB2312" w:eastAsia="仿宋_GB2312" w:cs="仿宋_GB2312"/>
          <w:sz w:val="32"/>
          <w:szCs w:val="32"/>
          <w:lang w:val="en-US" w:eastAsia="zh-CN"/>
        </w:rPr>
        <w:t>，辐射污染后果范围不会进一步扩大，根据专家组研判后，</w:t>
      </w:r>
      <w:r>
        <w:rPr>
          <w:rFonts w:hint="default" w:ascii="仿宋_GB2312" w:hAnsi="仿宋_GB2312" w:eastAsia="仿宋_GB2312" w:cs="仿宋_GB2312"/>
          <w:sz w:val="32"/>
          <w:szCs w:val="32"/>
          <w:lang w:val="en-US" w:eastAsia="zh-CN"/>
        </w:rPr>
        <w:t>由市</w:t>
      </w:r>
      <w:r>
        <w:rPr>
          <w:rFonts w:hint="eastAsia" w:ascii="仿宋_GB2312" w:hAnsi="仿宋_GB2312" w:eastAsia="仿宋_GB2312" w:cs="仿宋_GB2312"/>
          <w:sz w:val="32"/>
          <w:szCs w:val="32"/>
          <w:lang w:val="en-US" w:eastAsia="zh-CN"/>
        </w:rPr>
        <w:t>生态环境局局长决定</w:t>
      </w:r>
      <w:r>
        <w:rPr>
          <w:rFonts w:hint="default" w:ascii="仿宋_GB2312" w:hAnsi="仿宋_GB2312" w:eastAsia="仿宋_GB2312" w:cs="仿宋_GB2312"/>
          <w:sz w:val="32"/>
          <w:szCs w:val="32"/>
          <w:lang w:val="en-US" w:eastAsia="zh-CN"/>
        </w:rPr>
        <w:t>启动三级响应</w:t>
      </w:r>
      <w:r>
        <w:rPr>
          <w:rFonts w:hint="eastAsia" w:ascii="仿宋_GB2312" w:hAnsi="仿宋_GB2312" w:eastAsia="仿宋_GB2312" w:cs="仿宋_GB2312"/>
          <w:sz w:val="32"/>
          <w:szCs w:val="32"/>
          <w:lang w:val="en-US" w:eastAsia="zh-CN"/>
        </w:rPr>
        <w:t>，由市核与辐射事故应急指挥部负责统筹组织应对，辖区政府在市核与辐射事故应急指挥部的统筹指挥下开展应急处置工作。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二级（</w:t>
      </w:r>
      <w:r>
        <w:rPr>
          <w:rFonts w:hint="eastAsia" w:ascii="仿宋_GB2312" w:hAnsi="仿宋_GB2312" w:eastAsia="仿宋_GB2312" w:cs="仿宋_GB2312"/>
          <w:sz w:val="32"/>
          <w:szCs w:val="32"/>
          <w:lang w:val="en-US" w:eastAsia="zh-CN"/>
        </w:rPr>
        <w:t>Ⅱ</w:t>
      </w:r>
      <w:r>
        <w:rPr>
          <w:rFonts w:hint="default"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lang w:val="en-US" w:eastAsia="zh-CN"/>
        </w:rPr>
        <w:t>响应。</w:t>
      </w:r>
      <w:r>
        <w:rPr>
          <w:rFonts w:hint="default" w:ascii="仿宋_GB2312" w:hAnsi="仿宋_GB2312" w:eastAsia="仿宋_GB2312" w:cs="仿宋_GB2312"/>
          <w:sz w:val="32"/>
          <w:szCs w:val="32"/>
          <w:lang w:val="en-US" w:eastAsia="zh-CN"/>
        </w:rPr>
        <w:t>发生较大</w:t>
      </w:r>
      <w:r>
        <w:rPr>
          <w:rFonts w:hint="eastAsia" w:ascii="仿宋_GB2312" w:hAnsi="仿宋_GB2312" w:eastAsia="仿宋_GB2312" w:cs="仿宋_GB2312"/>
          <w:sz w:val="32"/>
          <w:szCs w:val="32"/>
          <w:lang w:val="en-US" w:eastAsia="zh-CN"/>
        </w:rPr>
        <w:t>辐射事故</w:t>
      </w:r>
      <w:r>
        <w:rPr>
          <w:rFonts w:hint="default" w:ascii="仿宋_GB2312" w:hAnsi="仿宋_GB2312" w:eastAsia="仿宋_GB2312" w:cs="仿宋_GB2312"/>
          <w:sz w:val="32"/>
          <w:szCs w:val="32"/>
          <w:lang w:val="en-US" w:eastAsia="zh-CN"/>
        </w:rPr>
        <w:t>，事态有扩大趋势，或发生在特殊地点、敏感时期，</w:t>
      </w:r>
      <w:r>
        <w:rPr>
          <w:rFonts w:hint="eastAsia" w:ascii="仿宋_GB2312" w:hAnsi="仿宋_GB2312" w:eastAsia="仿宋_GB2312" w:cs="仿宋_GB2312"/>
          <w:sz w:val="32"/>
          <w:szCs w:val="32"/>
          <w:lang w:val="en-US" w:eastAsia="zh-CN"/>
        </w:rPr>
        <w:t>根据专家组研判后，</w:t>
      </w:r>
      <w:r>
        <w:rPr>
          <w:rFonts w:hint="default" w:ascii="仿宋_GB2312" w:hAnsi="仿宋_GB2312" w:eastAsia="仿宋_GB2312" w:cs="仿宋_GB2312"/>
          <w:sz w:val="32"/>
          <w:szCs w:val="32"/>
          <w:lang w:val="en-US" w:eastAsia="zh-CN"/>
        </w:rPr>
        <w:t>由市</w:t>
      </w:r>
      <w:r>
        <w:rPr>
          <w:rFonts w:hint="eastAsia" w:ascii="仿宋_GB2312" w:hAnsi="仿宋_GB2312" w:eastAsia="仿宋_GB2312" w:cs="仿宋_GB2312"/>
          <w:sz w:val="32"/>
          <w:szCs w:val="32"/>
          <w:lang w:val="en-US" w:eastAsia="zh-CN"/>
        </w:rPr>
        <w:t>核与辐射事故应急指挥部</w:t>
      </w:r>
      <w:r>
        <w:rPr>
          <w:rFonts w:hint="default" w:ascii="仿宋_GB2312" w:hAnsi="仿宋_GB2312" w:eastAsia="仿宋_GB2312" w:cs="仿宋_GB2312"/>
          <w:sz w:val="32"/>
          <w:szCs w:val="32"/>
          <w:lang w:val="en-US" w:eastAsia="zh-CN"/>
        </w:rPr>
        <w:t>总指挥</w:t>
      </w:r>
      <w:r>
        <w:rPr>
          <w:rFonts w:hint="eastAsia" w:ascii="仿宋_GB2312" w:hAnsi="仿宋_GB2312" w:eastAsia="仿宋_GB2312" w:cs="仿宋_GB2312"/>
          <w:sz w:val="32"/>
          <w:szCs w:val="32"/>
          <w:lang w:val="en-US" w:eastAsia="zh-CN"/>
        </w:rPr>
        <w:t>决定</w:t>
      </w:r>
      <w:r>
        <w:rPr>
          <w:rFonts w:hint="default" w:ascii="仿宋_GB2312" w:hAnsi="仿宋_GB2312" w:eastAsia="仿宋_GB2312" w:cs="仿宋_GB2312"/>
          <w:sz w:val="32"/>
          <w:szCs w:val="32"/>
          <w:lang w:val="en-US" w:eastAsia="zh-CN"/>
        </w:rPr>
        <w:t>启动二级响应</w:t>
      </w:r>
      <w:r>
        <w:rPr>
          <w:rFonts w:hint="eastAsia" w:ascii="仿宋_GB2312" w:hAnsi="仿宋_GB2312" w:eastAsia="仿宋_GB2312" w:cs="仿宋_GB2312"/>
          <w:sz w:val="32"/>
          <w:szCs w:val="32"/>
          <w:lang w:val="en-US" w:eastAsia="zh-CN"/>
        </w:rPr>
        <w:t>，由市核与辐射事故应急指挥部负责统筹组织应对，辖区政府在市核与辐射事故应急指挥部的统筹指挥下开展应急处置工作。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一级（</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 1 \* ROMAN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I</w:t>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lang w:val="en-US" w:eastAsia="zh-CN"/>
        </w:rPr>
        <w:t>响应。</w:t>
      </w:r>
      <w:r>
        <w:rPr>
          <w:rFonts w:hint="default" w:ascii="仿宋_GB2312" w:hAnsi="仿宋_GB2312" w:eastAsia="仿宋_GB2312" w:cs="仿宋_GB2312"/>
          <w:sz w:val="32"/>
          <w:szCs w:val="32"/>
          <w:lang w:val="en-US" w:eastAsia="zh-CN"/>
        </w:rPr>
        <w:t>发生重大、特别重大</w:t>
      </w:r>
      <w:r>
        <w:rPr>
          <w:rFonts w:hint="eastAsia" w:ascii="仿宋_GB2312" w:hAnsi="仿宋_GB2312" w:eastAsia="仿宋_GB2312" w:cs="仿宋_GB2312"/>
          <w:sz w:val="32"/>
          <w:szCs w:val="32"/>
          <w:lang w:val="en-US" w:eastAsia="zh-CN"/>
        </w:rPr>
        <w:t>辐射事故</w:t>
      </w:r>
      <w:r>
        <w:rPr>
          <w:rFonts w:hint="default"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eastAsia="zh-CN"/>
        </w:rPr>
        <w:t>市核与辐射事故应急指挥部总指挥报请</w:t>
      </w:r>
      <w:r>
        <w:rPr>
          <w:rFonts w:hint="default" w:ascii="仿宋_GB2312" w:hAnsi="仿宋_GB2312" w:eastAsia="仿宋_GB2312" w:cs="仿宋_GB2312"/>
          <w:sz w:val="32"/>
          <w:szCs w:val="32"/>
          <w:lang w:val="en-US" w:eastAsia="zh-CN"/>
        </w:rPr>
        <w:t>市应急委主任启动一级响应。</w:t>
      </w:r>
      <w:r>
        <w:rPr>
          <w:rFonts w:hint="eastAsia" w:ascii="仿宋_GB2312" w:hAnsi="仿宋_GB2312" w:eastAsia="仿宋_GB2312" w:cs="仿宋_GB2312"/>
          <w:sz w:val="32"/>
          <w:szCs w:val="32"/>
          <w:lang w:val="en-US" w:eastAsia="zh-CN"/>
        </w:rPr>
        <w:t>由市应急委负责统筹，市核与辐射事故应急指挥部负责具体指挥协调和处置工作，辖区政府在市应急委或市核与辐射事故应急指挥部的统筹指挥下开展应急处置工作。</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启动响应后，可视事态发展情况，及时调整响应级别。发生敏感性</w:t>
      </w:r>
      <w:r>
        <w:rPr>
          <w:rFonts w:hint="eastAsia" w:ascii="仿宋_GB2312" w:hAnsi="仿宋_GB2312" w:eastAsia="仿宋_GB2312" w:cs="仿宋_GB2312"/>
          <w:sz w:val="32"/>
          <w:szCs w:val="32"/>
          <w:lang w:val="en-US" w:eastAsia="zh-CN"/>
        </w:rPr>
        <w:t>辐射事故</w:t>
      </w:r>
      <w:r>
        <w:rPr>
          <w:rFonts w:hint="default" w:ascii="仿宋_GB2312" w:hAnsi="仿宋_GB2312" w:eastAsia="仿宋_GB2312" w:cs="仿宋_GB2312"/>
          <w:sz w:val="32"/>
          <w:szCs w:val="32"/>
          <w:lang w:val="en-US" w:eastAsia="zh-CN"/>
        </w:rPr>
        <w:t>，可适当提高响应级别。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各区人民政府的</w:t>
      </w:r>
      <w:r>
        <w:rPr>
          <w:rFonts w:hint="eastAsia" w:ascii="仿宋_GB2312" w:hAnsi="仿宋_GB2312" w:eastAsia="仿宋_GB2312" w:cs="仿宋_GB2312"/>
          <w:sz w:val="32"/>
          <w:szCs w:val="32"/>
          <w:lang w:val="en-US" w:eastAsia="zh-CN"/>
        </w:rPr>
        <w:t>辐射事故</w:t>
      </w:r>
      <w:r>
        <w:rPr>
          <w:rFonts w:hint="default" w:ascii="仿宋_GB2312" w:hAnsi="仿宋_GB2312" w:eastAsia="仿宋_GB2312" w:cs="仿宋_GB2312"/>
          <w:sz w:val="32"/>
          <w:szCs w:val="32"/>
          <w:lang w:val="en-US" w:eastAsia="zh-CN"/>
        </w:rPr>
        <w:t>应急响应分级，参照市级层面响应分级设置，结合本地实际情况予以明确。</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136" w:name="_Toc3256"/>
      <w:bookmarkStart w:id="137" w:name="_Toc17037"/>
      <w:bookmarkStart w:id="138" w:name="_Toc117777755"/>
      <w:bookmarkStart w:id="139" w:name="_Toc1706"/>
      <w:bookmarkStart w:id="140" w:name="_Toc896916582"/>
      <w:bookmarkStart w:id="141" w:name="_Toc25882"/>
      <w:bookmarkStart w:id="142" w:name="_Toc5882"/>
      <w:r>
        <w:rPr>
          <w:rFonts w:hint="eastAsia" w:ascii="楷体_GB2312" w:hAnsi="楷体" w:eastAsia="楷体_GB2312" w:cs="Times New Roman"/>
          <w:b w:val="0"/>
          <w:bCs/>
          <w:color w:val="auto"/>
          <w:kern w:val="32"/>
          <w:sz w:val="32"/>
          <w:szCs w:val="28"/>
          <w:highlight w:val="none"/>
          <w:u w:val="none"/>
          <w:lang w:val="en-US" w:eastAsia="zh-CN"/>
        </w:rPr>
        <w:t>3</w:t>
      </w:r>
      <w:r>
        <w:rPr>
          <w:rFonts w:hint="eastAsia" w:ascii="楷体_GB2312" w:hAnsi="楷体" w:eastAsia="楷体_GB2312" w:cs="Times New Roman"/>
          <w:b w:val="0"/>
          <w:bCs/>
          <w:color w:val="auto"/>
          <w:kern w:val="32"/>
          <w:sz w:val="32"/>
          <w:szCs w:val="28"/>
          <w:highlight w:val="none"/>
          <w:u w:val="none"/>
          <w:lang w:val="zh-CN"/>
        </w:rPr>
        <w:t>.4 现场指挥部</w:t>
      </w:r>
      <w:bookmarkEnd w:id="136"/>
      <w:bookmarkEnd w:id="137"/>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2"/>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3.4.1 现场指挥部组建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般辐射事故发生时，辖区人民政府视情况成立现场指挥部；较大辐射事故发生或可能发生时，经市核与辐射事故应急指挥部总指挥批准后，市核与辐射事故应急指挥部在事故现场设立现场指挥部，现场指挥部实行现场总指挥负责制，现场总指挥由市生态环境局局长或其指定的负责人担任，现场副总指挥原则上由</w:t>
      </w:r>
      <w:r>
        <w:rPr>
          <w:rFonts w:hint="eastAsia" w:ascii="仿宋_GB2312" w:hAnsi="仿宋_GB2312" w:eastAsia="仿宋_GB2312"/>
          <w:sz w:val="32"/>
          <w:highlight w:val="none"/>
        </w:rPr>
        <w:t>市委宣传部（市政府新闻办）</w:t>
      </w:r>
      <w:r>
        <w:rPr>
          <w:rFonts w:hint="eastAsia" w:ascii="仿宋_GB2312" w:hAnsi="仿宋_GB2312" w:eastAsia="仿宋_GB2312"/>
          <w:sz w:val="32"/>
          <w:highlight w:val="none"/>
          <w:lang w:eastAsia="zh-CN"/>
        </w:rPr>
        <w:t>、</w:t>
      </w:r>
      <w:r>
        <w:rPr>
          <w:rFonts w:hint="eastAsia" w:ascii="仿宋_GB2312" w:hAnsi="仿宋_GB2312" w:eastAsia="仿宋_GB2312" w:cs="仿宋_GB2312"/>
          <w:kern w:val="2"/>
          <w:sz w:val="32"/>
          <w:szCs w:val="32"/>
          <w:lang w:val="en-US" w:eastAsia="zh-CN" w:bidi="ar-SA"/>
        </w:rPr>
        <w:t>市应急管理局和事故所在地区政府分管生态环境工作的负责人担任；</w:t>
      </w:r>
      <w:r>
        <w:rPr>
          <w:rFonts w:hint="eastAsia" w:ascii="Times New Roman" w:hAnsi="Times New Roman" w:eastAsia="仿宋_GB2312" w:cs="Times New Roman"/>
          <w:color w:val="auto"/>
          <w:kern w:val="32"/>
          <w:sz w:val="32"/>
          <w:szCs w:val="20"/>
          <w:highlight w:val="none"/>
          <w:u w:val="none"/>
          <w:lang w:val="en-US" w:eastAsia="zh-CN" w:bidi="ar-SA"/>
        </w:rPr>
        <w:t>重大、特别重大辐射事故发生时，</w:t>
      </w:r>
      <w:r>
        <w:rPr>
          <w:rFonts w:hint="eastAsia" w:ascii="仿宋_GB2312" w:hAnsi="仿宋_GB2312" w:eastAsia="仿宋_GB2312" w:cs="仿宋_GB2312"/>
          <w:kern w:val="2"/>
          <w:sz w:val="32"/>
          <w:szCs w:val="32"/>
          <w:lang w:val="en-US" w:eastAsia="zh-CN" w:bidi="ar-SA"/>
        </w:rPr>
        <w:t>市核与辐射事故应急指挥部</w:t>
      </w:r>
      <w:r>
        <w:rPr>
          <w:rFonts w:hint="eastAsia" w:ascii="Times New Roman" w:hAnsi="Times New Roman" w:eastAsia="仿宋_GB2312" w:cs="Times New Roman"/>
          <w:color w:val="auto"/>
          <w:kern w:val="32"/>
          <w:sz w:val="32"/>
          <w:szCs w:val="20"/>
          <w:highlight w:val="none"/>
          <w:u w:val="none"/>
          <w:lang w:val="en-US" w:eastAsia="zh-CN" w:bidi="ar-SA"/>
        </w:rPr>
        <w:t>协助省人民政府设立现场指挥部。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2"/>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3.4.2 现场指挥部工作组设置及职责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现场指挥部根据需要下设综合协调组、污染处置组、辐射监测组、应急保障组、医学救援组、舆情信息组、社会稳定组和现场咨询组。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指挥部的主要职责是：决定辐射污染现场处置方案和辐射应急监测方案并组织实施；协调指挥市核与辐射事故应急指挥部辐射事故应急成员单位依据本预案的相关规定实施应急响应；责令停止导致或者可能导致辐射事故扩大的任何作业，隔离和控制事故现场，协调采取必要措施保护公众；控制受放射性污染的农副产品、食品和饮用水；对事故级别及是否需要上级支援做出判断；及时报告事故处置动态信息并提出相关建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综合协调组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综合协调组由市生态环境局牵头，市应急管理局、市卫生健康委、市公安局、属地区政府配合组成。其主要职责是：依据辐射事故发生、发展及处置情况，及时向市委、市政府、市应急委、省生态环境厅报告事故信息，传达上级指示，协调各应急功能组参与应急处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污染处置组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污染处置组由市生态环境局牵头，市公安局、属地区政府、深圳警备区、深圳海关配合组成。其主要职责是：协助公安机关侦察、追缴丢失或被盗的放射源；组织隔离事故现场；组织控制污染扩散，收集、转移辐射污染物和清理事故现场，消除辐射危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辐射监测组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辐射监测组由市生态环境局牵头，市卫生健康委配合组成。其主要职责是：负责监测辐射污染程度及影响范围。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应急保障组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应急保障组由属地区政府牵头，市生态环境局、市交通运输局、市应急管理局配合组成。其主要职责是：根据事故处置工作需要，及时提供应急物资、装备、车辆等应急保障；必要时实施现场交通管制。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医学救援组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医学救援组由市卫生健康委牵头，属地区政府配合组成。其主要职责是：负责组织专业力量对受照射伤害人员进行医疗救护。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舆情信息组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舆情信息组在市委宣传部、市委网信办的指导下，市生态环境局及相关应急部门为主，负责组织有关辐射事故及应急处置的信息权威发布，其主要职责是：负责组织有关辐射事故及应急处置的信息权威发布；监测、收集、分析网上相关信息，有效引导舆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社会稳定组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社会稳定组由市公安局牵头，属地区政府、市应急管理局、市生态环境局配合组成。其主要职责是：负责侦察、追缴被盗或丢失的放射源；加强受影响地区社会治安管理，防止出现群体性事件，维护社会稳定。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8</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现场咨询组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现场咨询组由现场总指挥根据现场实际工作需要临时指定，现场咨询专家原则上从专家咨询组选取，其主要职责是：分析、研判辐射事故发展趋势，为现场指挥部提供技术支持和决策咨询。</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3.4.3 现场指挥部指挥协调措施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现场指挥部采取的指挥协调措施包括但不限于：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（1）组织协调相关辐射应急</w:t>
      </w:r>
      <w:r>
        <w:rPr>
          <w:rFonts w:hint="eastAsia" w:ascii="仿宋_GB2312" w:hAnsi="仿宋_GB2312" w:eastAsia="仿宋_GB2312" w:cs="仿宋_GB2312"/>
          <w:sz w:val="32"/>
          <w:szCs w:val="32"/>
          <w:lang w:val="en-US" w:eastAsia="zh-CN"/>
        </w:rPr>
        <w:t>监测和</w:t>
      </w:r>
      <w:r>
        <w:rPr>
          <w:rFonts w:hint="eastAsia" w:ascii="仿宋_GB2312" w:hAnsi="仿宋_GB2312" w:eastAsia="仿宋_GB2312" w:cs="仿宋_GB2312"/>
          <w:sz w:val="32"/>
          <w:szCs w:val="32"/>
        </w:rPr>
        <w:t>处置队伍</w:t>
      </w:r>
      <w:r>
        <w:rPr>
          <w:rFonts w:hint="eastAsia" w:ascii="仿宋_GB2312" w:hAnsi="仿宋_GB2312" w:eastAsia="仿宋_GB2312" w:cs="仿宋_GB2312"/>
          <w:sz w:val="32"/>
          <w:szCs w:val="32"/>
          <w:lang w:val="en-US" w:eastAsia="zh-CN"/>
        </w:rPr>
        <w:t>开展现场处置工作</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（2）协调事发地区政府和市核与辐射事故应急指挥部成员单位提供人力、装备和技术等应急资源保障；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（3）协调建立现场警戒区和交通管制区，确定重点防护区域和重要的环境保护目标；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（4）组织制定辐射应急监测方案并实施监测；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（5）组织制定并实施辐射污染控制与消除方案，确定被转移、疏散群众的范围和返回时机；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公安部门对事故现场进行治安维护，协调卫生健康部门对事故受伤人员进行救治；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（7）掌握辐射事故应急处置进展情况，及时向市委、市政府、市应急委和省生态环境厅报告应急处置相关信息；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（8）传达并督促落实上级领导关于处置辐射事故的有关指示和批示；</w:t>
      </w:r>
    </w:p>
    <w:p>
      <w:pPr>
        <w:spacing w:line="560" w:lineRule="exact"/>
        <w:ind w:firstLine="640" w:firstLineChars="200"/>
        <w:rPr>
          <w:rFonts w:hint="eastAsia"/>
          <w:lang w:val="en-US" w:eastAsia="zh-CN"/>
        </w:rPr>
      </w:pPr>
      <w:r>
        <w:rPr>
          <w:rFonts w:hint="eastAsia" w:ascii="仿宋_GB2312" w:hAnsi="仿宋_GB2312" w:eastAsia="仿宋_GB2312" w:cs="仿宋_GB2312"/>
          <w:sz w:val="32"/>
          <w:szCs w:val="32"/>
        </w:rPr>
        <w:t>（9）当辐射事故需要扩大应急时，向市核与辐射事故应急指挥部或市政府提请支援。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2"/>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3.4.4 现场指挥协调</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2"/>
          <w:sz w:val="32"/>
          <w:szCs w:val="32"/>
          <w:highlight w:val="none"/>
          <w:u w:val="none"/>
        </w:rPr>
        <w:t>上级人民政府及</w:t>
      </w:r>
      <w:r>
        <w:rPr>
          <w:rFonts w:hint="eastAsia" w:ascii="仿宋_GB2312" w:hAnsi="仿宋_GB2312" w:eastAsia="仿宋_GB2312" w:cs="仿宋_GB2312"/>
          <w:color w:val="auto"/>
          <w:kern w:val="2"/>
          <w:sz w:val="32"/>
          <w:szCs w:val="32"/>
          <w:highlight w:val="none"/>
          <w:u w:val="none"/>
          <w:lang w:val="en-US" w:eastAsia="zh-CN"/>
        </w:rPr>
        <w:t>其</w:t>
      </w:r>
      <w:r>
        <w:rPr>
          <w:rFonts w:hint="eastAsia" w:ascii="仿宋_GB2312" w:hAnsi="仿宋_GB2312" w:eastAsia="仿宋_GB2312" w:cs="仿宋_GB2312"/>
          <w:color w:val="auto"/>
          <w:kern w:val="2"/>
          <w:sz w:val="32"/>
          <w:szCs w:val="32"/>
          <w:highlight w:val="none"/>
          <w:u w:val="none"/>
          <w:lang w:eastAsia="zh-CN"/>
        </w:rPr>
        <w:t>有关部门</w:t>
      </w:r>
      <w:r>
        <w:rPr>
          <w:rFonts w:hint="eastAsia" w:ascii="仿宋_GB2312" w:hAnsi="仿宋_GB2312" w:eastAsia="仿宋_GB2312" w:cs="仿宋_GB2312"/>
          <w:color w:val="auto"/>
          <w:kern w:val="2"/>
          <w:sz w:val="32"/>
          <w:szCs w:val="32"/>
          <w:highlight w:val="none"/>
          <w:u w:val="none"/>
        </w:rPr>
        <w:t>指导下级人民政府及</w:t>
      </w:r>
      <w:r>
        <w:rPr>
          <w:rFonts w:hint="eastAsia" w:ascii="仿宋_GB2312" w:hAnsi="仿宋_GB2312" w:eastAsia="仿宋_GB2312" w:cs="仿宋_GB2312"/>
          <w:color w:val="auto"/>
          <w:kern w:val="2"/>
          <w:sz w:val="32"/>
          <w:szCs w:val="32"/>
          <w:highlight w:val="none"/>
          <w:u w:val="none"/>
          <w:lang w:val="en-US" w:eastAsia="zh-CN"/>
        </w:rPr>
        <w:t>其有关</w:t>
      </w:r>
      <w:r>
        <w:rPr>
          <w:rFonts w:hint="eastAsia" w:ascii="仿宋_GB2312" w:hAnsi="仿宋_GB2312" w:eastAsia="仿宋_GB2312" w:cs="仿宋_GB2312"/>
          <w:color w:val="auto"/>
          <w:kern w:val="2"/>
          <w:sz w:val="32"/>
          <w:szCs w:val="32"/>
          <w:highlight w:val="none"/>
          <w:u w:val="none"/>
        </w:rPr>
        <w:t>部门开展</w:t>
      </w:r>
      <w:r>
        <w:rPr>
          <w:rFonts w:hint="eastAsia" w:ascii="仿宋_GB2312" w:hAnsi="仿宋_GB2312" w:eastAsia="仿宋_GB2312" w:cs="仿宋_GB2312"/>
          <w:kern w:val="2"/>
          <w:sz w:val="32"/>
          <w:szCs w:val="32"/>
          <w:u w:val="none"/>
          <w:lang w:val="en-US" w:eastAsia="zh-CN"/>
        </w:rPr>
        <w:t>辐射事故</w:t>
      </w:r>
      <w:r>
        <w:rPr>
          <w:rFonts w:hint="eastAsia" w:ascii="仿宋_GB2312" w:hAnsi="仿宋_GB2312" w:eastAsia="仿宋_GB2312" w:cs="仿宋_GB2312"/>
          <w:color w:val="auto"/>
          <w:kern w:val="2"/>
          <w:sz w:val="32"/>
          <w:szCs w:val="32"/>
          <w:highlight w:val="none"/>
          <w:u w:val="none"/>
        </w:rPr>
        <w:t>应对工作。上级组织指挥机构设立后，下级组织指挥机构按照上级组织指挥机构要求做好应急处置与救援工作。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Cs w:val="0"/>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lang w:val="en-US" w:eastAsia="zh-CN" w:bidi="ar-SA"/>
        </w:rPr>
        <w:t>上级人民政府设立现场指挥部的，下级人民政府现场指挥部应当纳入上级现场指挥部。上级工作组到达现场时，下级现场指挥部应当接受业务指导，并按要求做好保障工作。参与现场救援的各类应急力量到达现场后，应当及时与现场指挥部做好衔接，服从现场指挥部作出的决定，接受统一指挥调度，并及时报告现场救援进展情况。解放军、武警部队参加的应急处置与救援，按规定的指挥关系和指挥权限进行指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 w:eastAsia="楷体_GB2312" w:cs="Times New Roman"/>
          <w:b w:val="0"/>
          <w:bCs/>
          <w:color w:val="auto"/>
          <w:kern w:val="32"/>
          <w:sz w:val="32"/>
          <w:szCs w:val="28"/>
          <w:highlight w:val="none"/>
          <w:u w:val="none"/>
          <w:lang w:val="zh-CN"/>
        </w:rPr>
      </w:pPr>
      <w:r>
        <w:rPr>
          <w:rFonts w:hint="eastAsia" w:ascii="仿宋_GB2312" w:hAnsi="仿宋_GB2312" w:eastAsia="仿宋_GB2312" w:cs="仿宋_GB2312"/>
          <w:bCs w:val="0"/>
          <w:color w:val="auto"/>
          <w:kern w:val="2"/>
          <w:sz w:val="32"/>
          <w:szCs w:val="32"/>
          <w:highlight w:val="none"/>
          <w:u w:val="none"/>
        </w:rPr>
        <w:t>在</w:t>
      </w:r>
      <w:r>
        <w:rPr>
          <w:rFonts w:hint="eastAsia" w:ascii="仿宋_GB2312" w:hAnsi="仿宋_GB2312" w:eastAsia="仿宋_GB2312" w:cs="仿宋_GB2312"/>
          <w:bCs w:val="0"/>
          <w:kern w:val="2"/>
          <w:sz w:val="32"/>
          <w:szCs w:val="32"/>
          <w:u w:val="none"/>
          <w:lang w:val="en-US" w:eastAsia="zh-CN"/>
        </w:rPr>
        <w:t>辐射事故</w:t>
      </w:r>
      <w:r>
        <w:rPr>
          <w:rFonts w:hint="eastAsia" w:ascii="仿宋_GB2312" w:hAnsi="仿宋_GB2312" w:eastAsia="仿宋_GB2312" w:cs="仿宋_GB2312"/>
          <w:bCs w:val="0"/>
          <w:color w:val="auto"/>
          <w:kern w:val="2"/>
          <w:sz w:val="32"/>
          <w:szCs w:val="32"/>
          <w:highlight w:val="none"/>
          <w:u w:val="none"/>
        </w:rPr>
        <w:t>风险得到有效控制，应急处置主要任务基本完成以后，</w:t>
      </w:r>
      <w:r>
        <w:rPr>
          <w:rFonts w:hint="eastAsia" w:ascii="仿宋_GB2312" w:hAnsi="仿宋_GB2312" w:eastAsia="仿宋_GB2312" w:cs="仿宋_GB2312"/>
          <w:bCs w:val="0"/>
          <w:color w:val="auto"/>
          <w:kern w:val="2"/>
          <w:sz w:val="32"/>
          <w:szCs w:val="32"/>
          <w:highlight w:val="none"/>
          <w:u w:val="none"/>
          <w:lang w:val="en-US" w:eastAsia="zh-CN"/>
        </w:rPr>
        <w:t>根据专家组研判后，</w:t>
      </w:r>
      <w:r>
        <w:rPr>
          <w:rFonts w:hint="eastAsia" w:ascii="仿宋_GB2312" w:hAnsi="仿宋_GB2312" w:eastAsia="仿宋_GB2312" w:cs="仿宋_GB2312"/>
          <w:bCs w:val="0"/>
          <w:color w:val="auto"/>
          <w:kern w:val="2"/>
          <w:sz w:val="32"/>
          <w:szCs w:val="32"/>
          <w:highlight w:val="none"/>
          <w:u w:val="none"/>
        </w:rPr>
        <w:t>现场指挥部可撤销或降级，现场统筹指挥工作转由辖区</w:t>
      </w:r>
      <w:r>
        <w:rPr>
          <w:rFonts w:hint="eastAsia" w:ascii="仿宋_GB2312" w:hAnsi="仿宋_GB2312" w:eastAsia="仿宋_GB2312" w:cs="仿宋_GB2312"/>
          <w:bCs w:val="0"/>
          <w:color w:val="auto"/>
          <w:kern w:val="2"/>
          <w:sz w:val="32"/>
          <w:szCs w:val="32"/>
          <w:highlight w:val="none"/>
          <w:u w:val="none"/>
          <w:lang w:val="en-US" w:eastAsia="zh-CN"/>
        </w:rPr>
        <w:t>政府</w:t>
      </w:r>
      <w:r>
        <w:rPr>
          <w:rFonts w:hint="eastAsia" w:ascii="仿宋_GB2312" w:hAnsi="仿宋_GB2312" w:eastAsia="仿宋_GB2312" w:cs="仿宋_GB2312"/>
          <w:bCs w:val="0"/>
          <w:color w:val="auto"/>
          <w:kern w:val="2"/>
          <w:sz w:val="32"/>
          <w:szCs w:val="32"/>
          <w:highlight w:val="none"/>
          <w:u w:val="none"/>
        </w:rPr>
        <w:t>负责人负责，直至事件处置结束。</w:t>
      </w:r>
      <w:r>
        <w:rPr>
          <w:rFonts w:hint="eastAsia" w:ascii="仿宋_GB2312" w:hAnsi="仿宋_GB2312" w:eastAsia="仿宋_GB2312" w:cs="仿宋_GB2312"/>
          <w:color w:val="auto"/>
          <w:sz w:val="32"/>
          <w:szCs w:val="32"/>
          <w:highlight w:val="none"/>
          <w:u w:val="none"/>
        </w:rPr>
        <w:t>现场指挥部可依据有关法律法规规章等规定，采取相应的强制性措施和其他必要措施</w:t>
      </w:r>
      <w:r>
        <w:rPr>
          <w:rFonts w:hint="eastAsia" w:ascii="仿宋_GB2312" w:hAnsi="仿宋_GB2312" w:eastAsia="仿宋_GB2312" w:cs="仿宋_GB2312"/>
          <w:color w:val="auto"/>
          <w:sz w:val="32"/>
          <w:szCs w:val="32"/>
          <w:highlight w:val="none"/>
          <w:u w:val="none"/>
          <w:lang w:eastAsia="zh-CN"/>
        </w:rPr>
        <w:t>。</w:t>
      </w:r>
    </w:p>
    <w:bookmarkEnd w:id="138"/>
    <w:bookmarkEnd w:id="139"/>
    <w:bookmarkEnd w:id="140"/>
    <w:bookmarkEnd w:id="141"/>
    <w:bookmarkEnd w:id="142"/>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143" w:name="_Toc15807"/>
      <w:bookmarkStart w:id="144" w:name="_Toc20654"/>
      <w:bookmarkStart w:id="145" w:name="_Toc19106"/>
      <w:bookmarkStart w:id="146" w:name="_Toc26090"/>
      <w:bookmarkStart w:id="147" w:name="_Toc10058"/>
      <w:bookmarkStart w:id="148" w:name="_Toc317199091"/>
      <w:bookmarkStart w:id="149" w:name="_Toc117777756"/>
      <w:r>
        <w:rPr>
          <w:rFonts w:hint="eastAsia" w:ascii="楷体_GB2312" w:hAnsi="楷体" w:eastAsia="楷体_GB2312" w:cs="Times New Roman"/>
          <w:b w:val="0"/>
          <w:bCs/>
          <w:color w:val="auto"/>
          <w:kern w:val="32"/>
          <w:sz w:val="32"/>
          <w:szCs w:val="28"/>
          <w:highlight w:val="none"/>
          <w:u w:val="none"/>
          <w:lang w:val="en-US" w:eastAsia="zh-CN"/>
        </w:rPr>
        <w:t>3</w:t>
      </w:r>
      <w:r>
        <w:rPr>
          <w:rFonts w:hint="eastAsia" w:ascii="楷体_GB2312" w:hAnsi="楷体" w:eastAsia="楷体_GB2312" w:cs="Times New Roman"/>
          <w:b w:val="0"/>
          <w:bCs/>
          <w:color w:val="auto"/>
          <w:kern w:val="32"/>
          <w:sz w:val="32"/>
          <w:szCs w:val="28"/>
          <w:highlight w:val="none"/>
          <w:u w:val="none"/>
          <w:lang w:val="zh-CN"/>
        </w:rPr>
        <w:t>.</w:t>
      </w:r>
      <w:r>
        <w:rPr>
          <w:rFonts w:hint="eastAsia" w:ascii="楷体_GB2312" w:hAnsi="楷体" w:eastAsia="楷体_GB2312" w:cs="Times New Roman"/>
          <w:b w:val="0"/>
          <w:bCs/>
          <w:color w:val="auto"/>
          <w:kern w:val="32"/>
          <w:sz w:val="32"/>
          <w:szCs w:val="28"/>
          <w:highlight w:val="none"/>
          <w:u w:val="none"/>
          <w:lang w:eastAsia="zh-CN"/>
        </w:rPr>
        <w:t>5</w:t>
      </w:r>
      <w:r>
        <w:rPr>
          <w:rFonts w:hint="eastAsia" w:ascii="楷体_GB2312" w:hAnsi="楷体" w:eastAsia="楷体_GB2312" w:cs="Times New Roman"/>
          <w:b w:val="0"/>
          <w:bCs/>
          <w:color w:val="auto"/>
          <w:kern w:val="32"/>
          <w:sz w:val="32"/>
          <w:szCs w:val="28"/>
          <w:highlight w:val="none"/>
          <w:u w:val="none"/>
          <w:lang w:val="zh-CN"/>
        </w:rPr>
        <w:t xml:space="preserve"> 现场处置</w:t>
      </w:r>
      <w:bookmarkEnd w:id="143"/>
      <w:bookmarkEnd w:id="144"/>
      <w:bookmarkEnd w:id="145"/>
      <w:bookmarkEnd w:id="146"/>
      <w:bookmarkEnd w:id="147"/>
      <w:bookmarkEnd w:id="148"/>
      <w:bookmarkEnd w:id="149"/>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3</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5</w:t>
      </w:r>
      <w:r>
        <w:rPr>
          <w:rFonts w:hint="eastAsia" w:ascii="仿宋_GB2312" w:hAnsi="仿宋_GB2312" w:eastAsia="仿宋_GB2312" w:cs="仿宋_GB2312"/>
          <w:b/>
          <w:sz w:val="32"/>
          <w:szCs w:val="32"/>
        </w:rPr>
        <w:t>.1 应急监测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辐射监测组依据辐射事故应急监测技术规范，根据现场情况实施应急监测，及时提供辐射监测数据，并会同专家组制定后续监测方案。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现场咨询组分析辐射应急监测数据，预测未来辐射污染变化趋势，作为辐射事故应急处置行动的决策依据。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必要时，市生态环境局协调上级辐射监测机构提供技术和装备支持。</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3</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5</w:t>
      </w:r>
      <w:r>
        <w:rPr>
          <w:rFonts w:hint="eastAsia" w:ascii="仿宋_GB2312" w:hAnsi="仿宋_GB2312" w:eastAsia="仿宋_GB2312" w:cs="仿宋_GB2312"/>
          <w:b/>
          <w:sz w:val="32"/>
          <w:szCs w:val="32"/>
        </w:rPr>
        <w:t>.2 污染处置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（1）现场指挥部组织现场咨询组制定辐射污染应急处置方案，迅速组织开展辐射事故初始调查，确定肇事单位和可能的影响范围，做好事故现场隔离警戒和人员疏散。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（2）社会稳定组负责组织追缴丢失或被盗的放射源。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（3）对于包装完好没有泄漏的放射源，现场指挥部直接移交给有相应资质的单位收贮。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（4）对于已泄漏造成严重污染的放射源，深圳警备区协调防化部队收集并移交给有相应资质的单位收贮。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（5）我市遭遇辐射恐怖袭击事件时，深圳警备区紧急协调防化部队实施现场应急处置，将产生的放射性废物集中移交给有相应资质的单位收贮。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（6）现场污染处置结束后，各参与单位对可能受到辐射污染影响的应急人员、车辆、装备和道路进行洗消，同时收集洗消产生的污染物移交给有相应资质的单位处理。</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3</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5</w:t>
      </w:r>
      <w:r>
        <w:rPr>
          <w:rFonts w:hint="eastAsia" w:ascii="仿宋_GB2312" w:hAnsi="仿宋_GB2312" w:eastAsia="仿宋_GB2312" w:cs="仿宋_GB2312"/>
          <w:b/>
          <w:sz w:val="32"/>
          <w:szCs w:val="32"/>
        </w:rPr>
        <w:t>.3 医疗救护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医学救援组将受到辐射伤害的人员送至当地有条件的医疗卫生机构治疗，或者在事故现场采取救治措施。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必要时，市卫生健康委提请上级卫生健康主管部门派出专家和医疗队伍支援。</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3</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5</w:t>
      </w:r>
      <w:r>
        <w:rPr>
          <w:rFonts w:hint="eastAsia" w:ascii="仿宋_GB2312" w:hAnsi="仿宋_GB2312" w:eastAsia="仿宋_GB2312" w:cs="仿宋_GB2312"/>
          <w:b/>
          <w:sz w:val="32"/>
          <w:szCs w:val="32"/>
        </w:rPr>
        <w:t>.4 专家咨询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专家咨询组为现场指挥部的各项应急救援行动提供技术支持。</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150" w:name="_Toc117777757"/>
      <w:bookmarkStart w:id="151" w:name="_Toc32330"/>
      <w:bookmarkStart w:id="152" w:name="_Toc11246"/>
      <w:bookmarkStart w:id="153" w:name="_Toc127927125"/>
      <w:bookmarkStart w:id="154" w:name="_Toc26194"/>
      <w:bookmarkStart w:id="155" w:name="_Toc4228"/>
      <w:bookmarkStart w:id="156" w:name="_Toc27386"/>
      <w:r>
        <w:rPr>
          <w:rFonts w:hint="eastAsia" w:ascii="楷体_GB2312" w:hAnsi="楷体" w:eastAsia="楷体_GB2312" w:cs="Times New Roman"/>
          <w:b w:val="0"/>
          <w:bCs/>
          <w:color w:val="auto"/>
          <w:kern w:val="32"/>
          <w:sz w:val="32"/>
          <w:szCs w:val="28"/>
          <w:highlight w:val="none"/>
          <w:u w:val="none"/>
          <w:lang w:val="en-US" w:eastAsia="zh-CN"/>
        </w:rPr>
        <w:t>3</w:t>
      </w:r>
      <w:r>
        <w:rPr>
          <w:rFonts w:hint="eastAsia" w:ascii="楷体_GB2312" w:hAnsi="楷体" w:eastAsia="楷体_GB2312" w:cs="Times New Roman"/>
          <w:b w:val="0"/>
          <w:bCs/>
          <w:color w:val="auto"/>
          <w:kern w:val="32"/>
          <w:sz w:val="32"/>
          <w:szCs w:val="28"/>
          <w:highlight w:val="none"/>
          <w:u w:val="none"/>
          <w:lang w:val="zh-CN"/>
        </w:rPr>
        <w:t>.</w:t>
      </w:r>
      <w:r>
        <w:rPr>
          <w:rFonts w:hint="eastAsia" w:ascii="楷体_GB2312" w:hAnsi="楷体" w:eastAsia="楷体_GB2312" w:cs="Times New Roman"/>
          <w:b w:val="0"/>
          <w:bCs/>
          <w:color w:val="auto"/>
          <w:kern w:val="32"/>
          <w:sz w:val="32"/>
          <w:szCs w:val="28"/>
          <w:highlight w:val="none"/>
          <w:u w:val="none"/>
          <w:lang w:eastAsia="zh-CN"/>
        </w:rPr>
        <w:t>6</w:t>
      </w:r>
      <w:r>
        <w:rPr>
          <w:rFonts w:hint="eastAsia" w:ascii="楷体_GB2312" w:hAnsi="楷体" w:eastAsia="楷体_GB2312" w:cs="Times New Roman"/>
          <w:b w:val="0"/>
          <w:bCs/>
          <w:color w:val="auto"/>
          <w:kern w:val="32"/>
          <w:sz w:val="32"/>
          <w:szCs w:val="28"/>
          <w:highlight w:val="none"/>
          <w:u w:val="none"/>
          <w:lang w:val="zh-CN"/>
        </w:rPr>
        <w:t xml:space="preserve"> 信息发布</w:t>
      </w:r>
      <w:bookmarkEnd w:id="150"/>
      <w:bookmarkEnd w:id="151"/>
      <w:bookmarkEnd w:id="152"/>
      <w:bookmarkEnd w:id="153"/>
      <w:bookmarkEnd w:id="154"/>
      <w:bookmarkEnd w:id="155"/>
      <w:bookmarkEnd w:id="15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highlight w:val="none"/>
        </w:rPr>
      </w:pPr>
      <w:r>
        <w:rPr>
          <w:rFonts w:hint="eastAsia" w:ascii="仿宋_GB2312" w:hAnsi="仿宋_GB2312" w:eastAsia="仿宋_GB2312"/>
          <w:sz w:val="32"/>
          <w:highlight w:val="none"/>
        </w:rPr>
        <w:t>（1）特别重大、重大</w:t>
      </w:r>
      <w:r>
        <w:rPr>
          <w:rFonts w:hint="eastAsia" w:ascii="仿宋_GB2312" w:hAnsi="仿宋_GB2312" w:eastAsia="仿宋_GB2312"/>
          <w:sz w:val="32"/>
          <w:highlight w:val="none"/>
          <w:lang w:val="en-US" w:eastAsia="zh-CN"/>
        </w:rPr>
        <w:t>辐射事故</w:t>
      </w:r>
      <w:r>
        <w:rPr>
          <w:rFonts w:hint="eastAsia" w:ascii="仿宋_GB2312" w:hAnsi="仿宋_GB2312" w:eastAsia="仿宋_GB2312"/>
          <w:sz w:val="32"/>
          <w:highlight w:val="none"/>
        </w:rPr>
        <w:t>发生后，要快速反应，及时发布信息，最迟在5小时内发布权威信息，最迟在24小时内举行新闻发布会，并根据应对情况做好后续发布工作。发生较大、一般</w:t>
      </w:r>
      <w:r>
        <w:rPr>
          <w:rFonts w:hint="eastAsia" w:ascii="仿宋_GB2312" w:hAnsi="仿宋_GB2312" w:eastAsia="仿宋_GB2312"/>
          <w:sz w:val="32"/>
          <w:highlight w:val="none"/>
          <w:lang w:val="en-US" w:eastAsia="zh-CN"/>
        </w:rPr>
        <w:t>辐射事故</w:t>
      </w:r>
      <w:r>
        <w:rPr>
          <w:rFonts w:hint="eastAsia" w:ascii="仿宋_GB2312" w:hAnsi="仿宋_GB2312" w:eastAsia="仿宋_GB2312"/>
          <w:sz w:val="32"/>
          <w:highlight w:val="none"/>
        </w:rPr>
        <w:t>后，应当及时发布权威信息，根据处置进展动态发布信息。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highlight w:val="none"/>
        </w:rPr>
      </w:pPr>
      <w:r>
        <w:rPr>
          <w:rFonts w:hint="eastAsia" w:ascii="仿宋_GB2312" w:hAnsi="仿宋_GB2312" w:eastAsia="仿宋_GB2312"/>
          <w:sz w:val="32"/>
          <w:highlight w:val="none"/>
        </w:rPr>
        <w:t>（2）信息发布由</w:t>
      </w:r>
      <w:r>
        <w:rPr>
          <w:rFonts w:hint="eastAsia" w:ascii="仿宋_GB2312" w:hAnsi="仿宋_GB2312" w:eastAsia="仿宋_GB2312"/>
          <w:sz w:val="32"/>
          <w:highlight w:val="none"/>
          <w:lang w:val="en-US" w:eastAsia="zh-CN"/>
        </w:rPr>
        <w:t>市核与辐射事故应急指挥部</w:t>
      </w:r>
      <w:r>
        <w:rPr>
          <w:rFonts w:hint="eastAsia" w:ascii="仿宋_GB2312" w:hAnsi="仿宋_GB2312" w:eastAsia="仿宋_GB2312"/>
          <w:sz w:val="32"/>
          <w:highlight w:val="none"/>
        </w:rPr>
        <w:t>负责，</w:t>
      </w:r>
      <w:r>
        <w:rPr>
          <w:rFonts w:hint="eastAsia" w:ascii="仿宋_GB2312" w:hAnsi="仿宋_GB2312" w:eastAsia="仿宋_GB2312"/>
          <w:sz w:val="32"/>
          <w:highlight w:val="none"/>
          <w:lang w:val="en-US" w:eastAsia="zh-CN"/>
        </w:rPr>
        <w:t>市委</w:t>
      </w:r>
      <w:r>
        <w:rPr>
          <w:rFonts w:hint="eastAsia" w:ascii="仿宋_GB2312" w:hAnsi="仿宋_GB2312" w:eastAsia="仿宋_GB2312"/>
          <w:sz w:val="32"/>
          <w:highlight w:val="none"/>
        </w:rPr>
        <w:t>宣传</w:t>
      </w:r>
      <w:r>
        <w:rPr>
          <w:rFonts w:hint="eastAsia" w:ascii="仿宋_GB2312" w:hAnsi="仿宋_GB2312" w:eastAsia="仿宋_GB2312"/>
          <w:sz w:val="32"/>
          <w:highlight w:val="none"/>
          <w:lang w:val="en-US" w:eastAsia="zh-CN"/>
        </w:rPr>
        <w:t>部</w:t>
      </w:r>
      <w:r>
        <w:rPr>
          <w:rFonts w:hint="eastAsia" w:ascii="仿宋_GB2312" w:hAnsi="仿宋_GB2312" w:eastAsia="仿宋_GB2312"/>
          <w:sz w:val="32"/>
          <w:highlight w:val="none"/>
        </w:rPr>
        <w:t>、</w:t>
      </w:r>
      <w:r>
        <w:rPr>
          <w:rFonts w:hint="eastAsia" w:ascii="仿宋_GB2312" w:hAnsi="仿宋_GB2312" w:eastAsia="仿宋_GB2312"/>
          <w:sz w:val="32"/>
          <w:highlight w:val="none"/>
          <w:lang w:val="en-US" w:eastAsia="zh-CN"/>
        </w:rPr>
        <w:t>市委网信办</w:t>
      </w:r>
      <w:r>
        <w:rPr>
          <w:rFonts w:hint="eastAsia" w:ascii="仿宋_GB2312" w:hAnsi="仿宋_GB2312" w:eastAsia="仿宋_GB2312"/>
          <w:sz w:val="32"/>
          <w:highlight w:val="none"/>
        </w:rPr>
        <w:t>牵头指导，</w:t>
      </w:r>
      <w:r>
        <w:rPr>
          <w:rFonts w:hint="eastAsia" w:ascii="仿宋_GB2312" w:hAnsi="仿宋_GB2312" w:eastAsia="仿宋_GB2312"/>
          <w:sz w:val="32"/>
          <w:highlight w:val="none"/>
          <w:lang w:val="en-US" w:eastAsia="zh-CN"/>
        </w:rPr>
        <w:t>市生态环境局</w:t>
      </w:r>
      <w:r>
        <w:rPr>
          <w:rFonts w:hint="eastAsia" w:ascii="仿宋_GB2312" w:hAnsi="仿宋_GB2312" w:eastAsia="仿宋_GB2312"/>
          <w:sz w:val="32"/>
          <w:highlight w:val="none"/>
        </w:rPr>
        <w:t>负责实施。未经批准，参与</w:t>
      </w:r>
      <w:r>
        <w:rPr>
          <w:rFonts w:hint="eastAsia" w:ascii="仿宋_GB2312" w:hAnsi="仿宋_GB2312" w:eastAsia="仿宋_GB2312"/>
          <w:sz w:val="32"/>
          <w:highlight w:val="none"/>
          <w:lang w:val="en-US" w:eastAsia="zh-CN"/>
        </w:rPr>
        <w:t>辐射事故</w:t>
      </w:r>
      <w:r>
        <w:rPr>
          <w:rFonts w:hint="eastAsia" w:ascii="仿宋_GB2312" w:hAnsi="仿宋_GB2312" w:eastAsia="仿宋_GB2312"/>
          <w:sz w:val="32"/>
          <w:highlight w:val="none"/>
        </w:rPr>
        <w:t>应急处置工作的各有关单位和人员不得擅自对外发布事件原因、伤亡数据、责任追究等有关</w:t>
      </w:r>
      <w:r>
        <w:rPr>
          <w:rFonts w:hint="eastAsia" w:ascii="仿宋_GB2312" w:hAnsi="仿宋_GB2312" w:eastAsia="仿宋_GB2312"/>
          <w:sz w:val="32"/>
          <w:highlight w:val="none"/>
          <w:lang w:val="en-US" w:eastAsia="zh-CN"/>
        </w:rPr>
        <w:t>辐射事故</w:t>
      </w:r>
      <w:r>
        <w:rPr>
          <w:rFonts w:hint="eastAsia" w:ascii="仿宋_GB2312" w:hAnsi="仿宋_GB2312" w:eastAsia="仿宋_GB2312"/>
          <w:sz w:val="32"/>
          <w:highlight w:val="none"/>
        </w:rPr>
        <w:t>应急处置工作情况和事态发展的信息。不得编造、传播有关</w:t>
      </w:r>
      <w:r>
        <w:rPr>
          <w:rFonts w:hint="eastAsia" w:ascii="仿宋_GB2312" w:hAnsi="仿宋_GB2312" w:eastAsia="仿宋_GB2312"/>
          <w:sz w:val="32"/>
          <w:highlight w:val="none"/>
          <w:lang w:val="en-US" w:eastAsia="zh-CN"/>
        </w:rPr>
        <w:t>辐射事故</w:t>
      </w:r>
      <w:r>
        <w:rPr>
          <w:rFonts w:hint="eastAsia" w:ascii="仿宋_GB2312" w:hAnsi="仿宋_GB2312" w:eastAsia="仿宋_GB2312"/>
          <w:sz w:val="32"/>
          <w:highlight w:val="none"/>
        </w:rPr>
        <w:t>应急处置工作和事态发展的虚假信息。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highlight w:val="none"/>
        </w:rPr>
      </w:pPr>
      <w:r>
        <w:rPr>
          <w:rFonts w:hint="eastAsia" w:ascii="仿宋_GB2312" w:hAnsi="仿宋_GB2312" w:eastAsia="仿宋_GB2312"/>
          <w:sz w:val="32"/>
          <w:highlight w:val="none"/>
        </w:rPr>
        <w:t>（3）</w:t>
      </w:r>
      <w:r>
        <w:rPr>
          <w:rFonts w:hint="eastAsia" w:ascii="仿宋_GB2312" w:hAnsi="仿宋_GB2312" w:eastAsia="仿宋_GB2312"/>
          <w:sz w:val="32"/>
          <w:highlight w:val="none"/>
          <w:lang w:val="en-US" w:eastAsia="zh-CN"/>
        </w:rPr>
        <w:t>市委</w:t>
      </w:r>
      <w:r>
        <w:rPr>
          <w:rFonts w:hint="eastAsia" w:ascii="仿宋_GB2312" w:hAnsi="仿宋_GB2312" w:eastAsia="仿宋_GB2312"/>
          <w:sz w:val="32"/>
          <w:highlight w:val="none"/>
        </w:rPr>
        <w:t>宣传</w:t>
      </w:r>
      <w:r>
        <w:rPr>
          <w:rFonts w:hint="eastAsia" w:ascii="仿宋_GB2312" w:hAnsi="仿宋_GB2312" w:eastAsia="仿宋_GB2312"/>
          <w:sz w:val="32"/>
          <w:highlight w:val="none"/>
          <w:lang w:val="en-US" w:eastAsia="zh-CN"/>
        </w:rPr>
        <w:t>部</w:t>
      </w:r>
      <w:r>
        <w:rPr>
          <w:rFonts w:hint="eastAsia" w:ascii="仿宋_GB2312" w:hAnsi="仿宋_GB2312" w:eastAsia="仿宋_GB2312"/>
          <w:sz w:val="32"/>
          <w:highlight w:val="none"/>
        </w:rPr>
        <w:t>、</w:t>
      </w:r>
      <w:r>
        <w:rPr>
          <w:rFonts w:hint="eastAsia" w:ascii="仿宋_GB2312" w:hAnsi="仿宋_GB2312" w:eastAsia="仿宋_GB2312"/>
          <w:sz w:val="32"/>
          <w:highlight w:val="none"/>
          <w:lang w:val="en-US" w:eastAsia="zh-CN"/>
        </w:rPr>
        <w:t>市委网信办</w:t>
      </w:r>
      <w:r>
        <w:rPr>
          <w:rFonts w:hint="eastAsia" w:ascii="仿宋_GB2312" w:hAnsi="仿宋_GB2312" w:eastAsia="仿宋_GB2312"/>
          <w:sz w:val="32"/>
          <w:highlight w:val="none"/>
        </w:rPr>
        <w:t>要加强统筹各媒体和政务新媒体，指导信息发布</w:t>
      </w:r>
      <w:r>
        <w:rPr>
          <w:rFonts w:hint="eastAsia" w:ascii="仿宋_GB2312" w:hAnsi="仿宋_GB2312" w:eastAsia="仿宋_GB2312"/>
          <w:sz w:val="32"/>
          <w:highlight w:val="none"/>
          <w:lang w:val="en-US" w:eastAsia="zh-CN"/>
        </w:rPr>
        <w:t>的</w:t>
      </w:r>
      <w:r>
        <w:rPr>
          <w:rFonts w:hint="eastAsia" w:ascii="仿宋_GB2312" w:hAnsi="仿宋_GB2312" w:eastAsia="仿宋_GB2312"/>
          <w:sz w:val="32"/>
          <w:highlight w:val="none"/>
        </w:rPr>
        <w:t>内容管理和舆情分析，及时回应社会关切，迅速澄清谣言，引导公众依法、理性表达意见，形成积极健康的社会舆论。做好重大决策宣传解读，深入报道</w:t>
      </w:r>
      <w:r>
        <w:rPr>
          <w:rFonts w:hint="eastAsia" w:ascii="仿宋_GB2312" w:hAnsi="仿宋_GB2312" w:eastAsia="仿宋_GB2312"/>
          <w:sz w:val="32"/>
          <w:highlight w:val="none"/>
          <w:lang w:val="en-US" w:eastAsia="zh-CN"/>
        </w:rPr>
        <w:t>辐射事故</w:t>
      </w:r>
      <w:r>
        <w:rPr>
          <w:rFonts w:hint="eastAsia" w:ascii="仿宋_GB2312" w:hAnsi="仿宋_GB2312" w:eastAsia="仿宋_GB2312"/>
          <w:sz w:val="32"/>
          <w:highlight w:val="none"/>
        </w:rPr>
        <w:t>应对工作的好做法。</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157" w:name="_Toc7655"/>
      <w:bookmarkStart w:id="158" w:name="_Toc754130235"/>
      <w:bookmarkStart w:id="159" w:name="_Toc28078"/>
      <w:bookmarkStart w:id="160" w:name="_Toc14185"/>
      <w:bookmarkStart w:id="161" w:name="_Toc7860"/>
      <w:bookmarkStart w:id="162" w:name="_Toc556"/>
      <w:bookmarkStart w:id="163" w:name="_Toc117777758"/>
      <w:r>
        <w:rPr>
          <w:rFonts w:hint="eastAsia" w:ascii="楷体_GB2312" w:hAnsi="楷体" w:eastAsia="楷体_GB2312" w:cs="Times New Roman"/>
          <w:b w:val="0"/>
          <w:bCs/>
          <w:color w:val="auto"/>
          <w:kern w:val="32"/>
          <w:sz w:val="32"/>
          <w:szCs w:val="28"/>
          <w:highlight w:val="none"/>
          <w:u w:val="none"/>
          <w:lang w:val="en-US" w:eastAsia="zh-CN"/>
        </w:rPr>
        <w:t>3</w:t>
      </w:r>
      <w:r>
        <w:rPr>
          <w:rFonts w:hint="eastAsia" w:ascii="楷体_GB2312" w:hAnsi="楷体" w:eastAsia="楷体_GB2312" w:cs="Times New Roman"/>
          <w:b w:val="0"/>
          <w:bCs/>
          <w:color w:val="auto"/>
          <w:kern w:val="32"/>
          <w:sz w:val="32"/>
          <w:szCs w:val="28"/>
          <w:highlight w:val="none"/>
          <w:u w:val="none"/>
          <w:lang w:val="zh-CN"/>
        </w:rPr>
        <w:t>.</w:t>
      </w:r>
      <w:r>
        <w:rPr>
          <w:rFonts w:hint="eastAsia" w:ascii="楷体_GB2312" w:hAnsi="楷体" w:eastAsia="楷体_GB2312" w:cs="Times New Roman"/>
          <w:b w:val="0"/>
          <w:bCs/>
          <w:color w:val="auto"/>
          <w:kern w:val="32"/>
          <w:sz w:val="32"/>
          <w:szCs w:val="28"/>
          <w:highlight w:val="none"/>
          <w:u w:val="none"/>
          <w:lang w:eastAsia="zh-CN"/>
        </w:rPr>
        <w:t>7</w:t>
      </w:r>
      <w:r>
        <w:rPr>
          <w:rFonts w:hint="eastAsia" w:ascii="楷体_GB2312" w:hAnsi="楷体" w:eastAsia="楷体_GB2312" w:cs="Times New Roman"/>
          <w:b w:val="0"/>
          <w:bCs/>
          <w:color w:val="auto"/>
          <w:kern w:val="32"/>
          <w:sz w:val="32"/>
          <w:szCs w:val="28"/>
          <w:highlight w:val="none"/>
          <w:u w:val="none"/>
          <w:lang w:val="zh-CN"/>
        </w:rPr>
        <w:t xml:space="preserve"> 扩大应急</w:t>
      </w:r>
      <w:bookmarkEnd w:id="157"/>
      <w:bookmarkEnd w:id="158"/>
      <w:bookmarkEnd w:id="159"/>
      <w:bookmarkEnd w:id="160"/>
      <w:bookmarkEnd w:id="161"/>
      <w:bookmarkEnd w:id="162"/>
      <w:bookmarkEnd w:id="16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当事态发展难以控制，事故级别有上升趋势时，现场指挥部应按相关程序提请启动高级别辐射事故应急预案。需要省政府或生态环境部提供支援帮助的，现场指挥部提请市政府及时上报省政府或生态环境部。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因辐射事故次生或衍生出其它突发事件，目前采取的应急救援能力不足以控制严峻的发展形势，需由多家专业机构同时参与处置的，现场指挥部按规定程序及时向市政府报告。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辐射事故可能波及相邻城市，需要相邻城市提前知悉并采取相应安全防护措施的，市生态环境局及时通报相邻城市生态环境主管部门。</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164" w:name="_Toc2931"/>
      <w:bookmarkStart w:id="165" w:name="_Toc907354378"/>
      <w:bookmarkStart w:id="166" w:name="_Toc19428"/>
      <w:bookmarkStart w:id="167" w:name="_Toc11827"/>
      <w:bookmarkStart w:id="168" w:name="_Toc117777759"/>
      <w:bookmarkStart w:id="169" w:name="_Toc10454"/>
      <w:bookmarkStart w:id="170" w:name="_Toc16514"/>
      <w:r>
        <w:rPr>
          <w:rFonts w:hint="eastAsia" w:ascii="楷体_GB2312" w:hAnsi="楷体" w:eastAsia="楷体_GB2312" w:cs="Times New Roman"/>
          <w:b w:val="0"/>
          <w:bCs/>
          <w:color w:val="auto"/>
          <w:kern w:val="32"/>
          <w:sz w:val="32"/>
          <w:szCs w:val="28"/>
          <w:highlight w:val="none"/>
          <w:u w:val="none"/>
          <w:lang w:val="en-US" w:eastAsia="zh-CN"/>
        </w:rPr>
        <w:t>3</w:t>
      </w:r>
      <w:r>
        <w:rPr>
          <w:rFonts w:hint="eastAsia" w:ascii="楷体_GB2312" w:hAnsi="楷体" w:eastAsia="楷体_GB2312" w:cs="Times New Roman"/>
          <w:b w:val="0"/>
          <w:bCs/>
          <w:color w:val="auto"/>
          <w:kern w:val="32"/>
          <w:sz w:val="32"/>
          <w:szCs w:val="28"/>
          <w:highlight w:val="none"/>
          <w:u w:val="none"/>
          <w:lang w:val="zh-CN"/>
        </w:rPr>
        <w:t>.</w:t>
      </w:r>
      <w:r>
        <w:rPr>
          <w:rFonts w:hint="eastAsia" w:ascii="楷体_GB2312" w:hAnsi="楷体" w:eastAsia="楷体_GB2312" w:cs="Times New Roman"/>
          <w:b w:val="0"/>
          <w:bCs/>
          <w:color w:val="auto"/>
          <w:kern w:val="32"/>
          <w:sz w:val="32"/>
          <w:szCs w:val="28"/>
          <w:highlight w:val="none"/>
          <w:u w:val="none"/>
          <w:lang w:eastAsia="zh-CN"/>
        </w:rPr>
        <w:t>8</w:t>
      </w:r>
      <w:r>
        <w:rPr>
          <w:rFonts w:hint="eastAsia" w:ascii="楷体_GB2312" w:hAnsi="楷体" w:eastAsia="楷体_GB2312" w:cs="Times New Roman"/>
          <w:b w:val="0"/>
          <w:bCs/>
          <w:color w:val="auto"/>
          <w:kern w:val="32"/>
          <w:sz w:val="32"/>
          <w:szCs w:val="28"/>
          <w:highlight w:val="none"/>
          <w:u w:val="none"/>
          <w:lang w:val="zh-CN"/>
        </w:rPr>
        <w:t xml:space="preserve"> 安全防护</w:t>
      </w:r>
      <w:bookmarkEnd w:id="164"/>
      <w:bookmarkEnd w:id="165"/>
      <w:bookmarkEnd w:id="166"/>
      <w:bookmarkEnd w:id="167"/>
      <w:bookmarkEnd w:id="168"/>
      <w:bookmarkEnd w:id="169"/>
      <w:bookmarkEnd w:id="170"/>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3</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8</w:t>
      </w:r>
      <w:r>
        <w:rPr>
          <w:rFonts w:hint="eastAsia" w:ascii="仿宋_GB2312" w:hAnsi="仿宋_GB2312" w:eastAsia="仿宋_GB2312" w:cs="仿宋_GB2312"/>
          <w:b/>
          <w:sz w:val="32"/>
          <w:szCs w:val="32"/>
        </w:rPr>
        <w:t>.1 应急人员的安全防护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现场指挥部</w:t>
      </w:r>
      <w:r>
        <w:rPr>
          <w:rFonts w:hint="eastAsia" w:ascii="仿宋_GB2312" w:hAnsi="仿宋_GB2312" w:eastAsia="仿宋_GB2312" w:cs="仿宋_GB2312"/>
          <w:sz w:val="32"/>
          <w:szCs w:val="32"/>
          <w:lang w:val="en-US" w:eastAsia="zh-CN"/>
        </w:rPr>
        <w:t>指导应急人员做好必要的安全防护。</w:t>
      </w:r>
      <w:r>
        <w:rPr>
          <w:rFonts w:hint="eastAsia" w:ascii="仿宋_GB2312" w:hAnsi="仿宋_GB2312" w:eastAsia="仿宋_GB2312" w:cs="仿宋_GB2312"/>
          <w:sz w:val="32"/>
          <w:szCs w:val="32"/>
        </w:rPr>
        <w:t>辐射事故现场应急人员应根据不同类型辐射事故的风险特征,配备相应的专业防护装备，采取必要的安全防护措施，严格执行应急救援人员出入事发现场的安全防护管理规定。</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3</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8</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 xml:space="preserve"> 受灾群众的安全防护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现场指挥部对受灾群众采取必要的安全防护措施，主要包括：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（1）根据辐射事故的性质、特点，及时告知可能受影响的公众采取安全防护措施，尽可能提供安全防护用品。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（2）根据事发时当地的气象、地理环境、人员密集度等情况，社会稳定组确定群众疏散方式和方向，组织群众安全撤离。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（3）必要时，在事发地安全警戒区外设立紧急避护场所。</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171" w:name="_Toc30533"/>
      <w:bookmarkStart w:id="172" w:name="_Toc21223"/>
      <w:bookmarkStart w:id="173" w:name="_Toc798574111"/>
      <w:bookmarkStart w:id="174" w:name="_Toc24210"/>
      <w:bookmarkStart w:id="175" w:name="_Toc5716"/>
      <w:bookmarkStart w:id="176" w:name="_Toc19805"/>
      <w:bookmarkStart w:id="177" w:name="_Toc117777760"/>
      <w:r>
        <w:rPr>
          <w:rFonts w:hint="eastAsia" w:ascii="楷体_GB2312" w:hAnsi="楷体" w:eastAsia="楷体_GB2312" w:cs="Times New Roman"/>
          <w:b w:val="0"/>
          <w:bCs/>
          <w:color w:val="auto"/>
          <w:kern w:val="32"/>
          <w:sz w:val="32"/>
          <w:szCs w:val="28"/>
          <w:highlight w:val="none"/>
          <w:u w:val="none"/>
          <w:lang w:val="en-US" w:eastAsia="zh-CN"/>
        </w:rPr>
        <w:t>3</w:t>
      </w:r>
      <w:r>
        <w:rPr>
          <w:rFonts w:hint="eastAsia" w:ascii="楷体_GB2312" w:hAnsi="楷体" w:eastAsia="楷体_GB2312" w:cs="Times New Roman"/>
          <w:b w:val="0"/>
          <w:bCs/>
          <w:color w:val="auto"/>
          <w:kern w:val="32"/>
          <w:sz w:val="32"/>
          <w:szCs w:val="28"/>
          <w:highlight w:val="none"/>
          <w:u w:val="none"/>
          <w:lang w:val="zh-CN"/>
        </w:rPr>
        <w:t>.</w:t>
      </w:r>
      <w:r>
        <w:rPr>
          <w:rFonts w:hint="eastAsia" w:ascii="楷体_GB2312" w:hAnsi="楷体" w:eastAsia="楷体_GB2312" w:cs="Times New Roman"/>
          <w:b w:val="0"/>
          <w:bCs/>
          <w:color w:val="auto"/>
          <w:kern w:val="32"/>
          <w:sz w:val="32"/>
          <w:szCs w:val="28"/>
          <w:highlight w:val="none"/>
          <w:u w:val="none"/>
          <w:lang w:eastAsia="zh-CN"/>
        </w:rPr>
        <w:t>9</w:t>
      </w:r>
      <w:r>
        <w:rPr>
          <w:rFonts w:hint="eastAsia" w:ascii="楷体_GB2312" w:hAnsi="楷体" w:eastAsia="楷体_GB2312" w:cs="Times New Roman"/>
          <w:b w:val="0"/>
          <w:bCs/>
          <w:color w:val="auto"/>
          <w:kern w:val="32"/>
          <w:sz w:val="32"/>
          <w:szCs w:val="28"/>
          <w:highlight w:val="none"/>
          <w:u w:val="none"/>
          <w:lang w:val="zh-CN"/>
        </w:rPr>
        <w:t xml:space="preserve"> 响应终止</w:t>
      </w:r>
      <w:bookmarkEnd w:id="171"/>
      <w:bookmarkEnd w:id="172"/>
      <w:bookmarkEnd w:id="173"/>
      <w:bookmarkEnd w:id="174"/>
      <w:bookmarkEnd w:id="175"/>
      <w:bookmarkEnd w:id="176"/>
      <w:bookmarkEnd w:id="17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响应终止程序按照谁启动谁终止的原则开展。</w:t>
      </w:r>
      <w:r>
        <w:rPr>
          <w:rFonts w:hint="eastAsia" w:ascii="仿宋_GB2312" w:hAnsi="仿宋_GB2312" w:eastAsia="仿宋_GB2312" w:cs="仿宋_GB2312"/>
          <w:sz w:val="32"/>
          <w:szCs w:val="32"/>
        </w:rPr>
        <w:t>辐射事故现场满足下列所有条件时，终止应急</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行动：</w:t>
      </w:r>
    </w:p>
    <w:p>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（1）辐射事故造成的环境影响已消除，现场辐射风险受控。</w:t>
      </w:r>
    </w:p>
    <w:p>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（2）事故导致增加的辐射剂量已降到安全限值以内。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（3）已采取必要的安全防护措施，确定工作人员与公众可以免受意外照射。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当放射源丢失，并经过长时间寻找仍无法找到时，由市公安局会同市生态环境局组织专家组进行研判，经专家组研判可终止应急响应的，可报请终止应急响应。</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178" w:name="_Toc1045738054"/>
      <w:bookmarkStart w:id="179" w:name="_Toc1053"/>
      <w:bookmarkStart w:id="180" w:name="_Toc117777761"/>
      <w:bookmarkStart w:id="181" w:name="_Toc6008"/>
      <w:bookmarkStart w:id="182" w:name="_Toc29056"/>
      <w:bookmarkStart w:id="183" w:name="_Toc20898"/>
      <w:bookmarkStart w:id="184" w:name="_Toc30393"/>
      <w:r>
        <w:rPr>
          <w:rFonts w:hint="eastAsia" w:ascii="楷体_GB2312" w:hAnsi="楷体" w:eastAsia="楷体_GB2312" w:cs="Times New Roman"/>
          <w:b w:val="0"/>
          <w:bCs/>
          <w:color w:val="auto"/>
          <w:kern w:val="32"/>
          <w:sz w:val="32"/>
          <w:szCs w:val="28"/>
          <w:highlight w:val="none"/>
          <w:u w:val="none"/>
          <w:lang w:val="zh-CN" w:eastAsia="zh-CN"/>
        </w:rPr>
        <w:t>3.10</w:t>
      </w:r>
      <w:r>
        <w:rPr>
          <w:rFonts w:hint="eastAsia" w:ascii="楷体_GB2312" w:hAnsi="楷体" w:eastAsia="楷体_GB2312" w:cs="Times New Roman"/>
          <w:b w:val="0"/>
          <w:bCs/>
          <w:color w:val="auto"/>
          <w:kern w:val="32"/>
          <w:sz w:val="32"/>
          <w:szCs w:val="28"/>
          <w:highlight w:val="none"/>
          <w:u w:val="none"/>
          <w:lang w:val="en-US" w:eastAsia="zh-CN"/>
        </w:rPr>
        <w:t xml:space="preserve"> </w:t>
      </w:r>
      <w:r>
        <w:rPr>
          <w:rFonts w:hint="eastAsia" w:ascii="楷体_GB2312" w:hAnsi="楷体" w:eastAsia="楷体_GB2312" w:cs="Times New Roman"/>
          <w:b w:val="0"/>
          <w:bCs/>
          <w:color w:val="auto"/>
          <w:kern w:val="32"/>
          <w:sz w:val="32"/>
          <w:szCs w:val="28"/>
          <w:highlight w:val="none"/>
          <w:u w:val="none"/>
          <w:lang w:val="zh-CN"/>
        </w:rPr>
        <w:t>后期处置</w:t>
      </w:r>
      <w:bookmarkEnd w:id="178"/>
      <w:bookmarkEnd w:id="179"/>
      <w:bookmarkEnd w:id="180"/>
      <w:bookmarkEnd w:id="181"/>
      <w:bookmarkEnd w:id="182"/>
      <w:bookmarkEnd w:id="183"/>
      <w:bookmarkEnd w:id="184"/>
    </w:p>
    <w:p>
      <w:pPr>
        <w:keepNext/>
        <w:keepLines/>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楷体_GB2312" w:hAnsi="楷体" w:eastAsia="楷体_GB2312" w:cs="Times New Roman"/>
          <w:b w:val="0"/>
          <w:bCs/>
          <w:color w:val="auto"/>
          <w:kern w:val="32"/>
          <w:sz w:val="32"/>
          <w:szCs w:val="28"/>
          <w:highlight w:val="none"/>
          <w:u w:val="none"/>
          <w:lang w:val="zh-CN"/>
        </w:rPr>
      </w:pPr>
      <w:bookmarkStart w:id="185" w:name="_Toc6309"/>
      <w:bookmarkStart w:id="186" w:name="_Toc20575"/>
      <w:bookmarkStart w:id="187" w:name="_Toc27063"/>
      <w:bookmarkStart w:id="188" w:name="_Toc117777762"/>
      <w:bookmarkStart w:id="189" w:name="_Toc180945769"/>
      <w:r>
        <w:rPr>
          <w:rFonts w:hint="eastAsia" w:ascii="仿宋_GB2312" w:hAnsi="仿宋_GB2312" w:eastAsia="仿宋_GB2312" w:cs="仿宋_GB2312"/>
          <w:b/>
          <w:bCs w:val="0"/>
          <w:color w:val="auto"/>
          <w:kern w:val="32"/>
          <w:sz w:val="32"/>
          <w:szCs w:val="28"/>
          <w:highlight w:val="none"/>
          <w:u w:val="none"/>
          <w:lang w:val="zh-CN" w:eastAsia="zh-CN"/>
        </w:rPr>
        <w:t>3.10</w:t>
      </w:r>
      <w:r>
        <w:rPr>
          <w:rFonts w:hint="eastAsia" w:ascii="仿宋_GB2312" w:hAnsi="仿宋_GB2312" w:eastAsia="仿宋_GB2312" w:cs="仿宋_GB2312"/>
          <w:b/>
          <w:bCs w:val="0"/>
          <w:color w:val="auto"/>
          <w:kern w:val="32"/>
          <w:sz w:val="32"/>
          <w:szCs w:val="28"/>
          <w:highlight w:val="none"/>
          <w:u w:val="none"/>
          <w:lang w:val="en-US" w:eastAsia="zh-CN"/>
        </w:rPr>
        <w:t xml:space="preserve">.1 </w:t>
      </w:r>
      <w:r>
        <w:rPr>
          <w:rFonts w:hint="eastAsia" w:ascii="仿宋_GB2312" w:hAnsi="仿宋_GB2312" w:eastAsia="仿宋_GB2312" w:cs="仿宋_GB2312"/>
          <w:b/>
          <w:bCs w:val="0"/>
          <w:color w:val="auto"/>
          <w:kern w:val="32"/>
          <w:sz w:val="32"/>
          <w:szCs w:val="28"/>
          <w:highlight w:val="none"/>
          <w:u w:val="none"/>
          <w:lang w:val="zh-CN"/>
        </w:rPr>
        <w:t>善后处置</w:t>
      </w:r>
      <w:bookmarkEnd w:id="185"/>
      <w:bookmarkEnd w:id="186"/>
      <w:bookmarkEnd w:id="187"/>
      <w:bookmarkEnd w:id="188"/>
      <w:bookmarkEnd w:id="189"/>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市核与辐射事故应急指挥部办公室组织专家分析事故原因，采取相应的预防措施，防止类似的辐射事故再次发生。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参加应急处置行动的辐射事故应急成员单位负责对仪器设备进行维护和保养，恢复或保持其应急功能。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市核与辐射事故应急指挥部办公室组织对参与辐射事故的应急响应人员及受害人员所受剂量进行监测评估，必要时采取相应措施。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市核与辐射事故应急指挥部辐射事故应急成员单位归还应急处置期间借用的应急物资与装备，</w:t>
      </w:r>
      <w:r>
        <w:rPr>
          <w:rFonts w:hint="eastAsia" w:ascii="仿宋_GB2312" w:hAnsi="仿宋_GB2312" w:eastAsia="仿宋_GB2312" w:cs="仿宋_GB2312"/>
          <w:sz w:val="32"/>
          <w:szCs w:val="32"/>
          <w:lang w:val="en-US" w:eastAsia="zh-CN"/>
        </w:rPr>
        <w:t>并做好损坏和消耗应急物资与装备的补充</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辐射事故和运行故障处置过程中的安全责任，以及由事故、故障导致的应急处置费用，由发生辐射事故或者运行故障的单位承担；对因不可抗力或无法认定</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单位的处置费用，由市财政按照相关程序支付。</w:t>
      </w:r>
    </w:p>
    <w:p>
      <w:pPr>
        <w:keepNext/>
        <w:keepLines/>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楷体_GB2312" w:hAnsi="楷体" w:eastAsia="仿宋_GB2312" w:cs="Times New Roman"/>
          <w:b w:val="0"/>
          <w:bCs/>
          <w:color w:val="auto"/>
          <w:kern w:val="32"/>
          <w:sz w:val="32"/>
          <w:szCs w:val="28"/>
          <w:highlight w:val="none"/>
          <w:u w:val="none"/>
        </w:rPr>
      </w:pPr>
      <w:bookmarkStart w:id="190" w:name="_Toc27131"/>
      <w:bookmarkStart w:id="191" w:name="_Toc117777763"/>
      <w:bookmarkStart w:id="192" w:name="_Toc21871"/>
      <w:bookmarkStart w:id="193" w:name="_Toc12958"/>
      <w:bookmarkStart w:id="194" w:name="_Toc1682561099"/>
      <w:r>
        <w:rPr>
          <w:rFonts w:hint="eastAsia" w:ascii="仿宋_GB2312" w:hAnsi="仿宋_GB2312" w:eastAsia="仿宋_GB2312" w:cs="仿宋_GB2312"/>
          <w:b/>
          <w:bCs w:val="0"/>
          <w:color w:val="auto"/>
          <w:kern w:val="32"/>
          <w:sz w:val="32"/>
          <w:szCs w:val="28"/>
          <w:highlight w:val="none"/>
          <w:u w:val="none"/>
          <w:lang w:val="zh-CN" w:eastAsia="zh-CN"/>
        </w:rPr>
        <w:t>3.10</w:t>
      </w:r>
      <w:r>
        <w:rPr>
          <w:rFonts w:hint="eastAsia" w:ascii="仿宋_GB2312" w:hAnsi="仿宋_GB2312" w:eastAsia="仿宋_GB2312" w:cs="仿宋_GB2312"/>
          <w:b/>
          <w:bCs w:val="0"/>
          <w:color w:val="auto"/>
          <w:kern w:val="32"/>
          <w:sz w:val="32"/>
          <w:szCs w:val="28"/>
          <w:highlight w:val="none"/>
          <w:u w:val="none"/>
          <w:lang w:val="en-US" w:eastAsia="zh-CN"/>
        </w:rPr>
        <w:t>.</w:t>
      </w:r>
      <w:r>
        <w:rPr>
          <w:rFonts w:hint="eastAsia" w:ascii="仿宋_GB2312" w:hAnsi="仿宋_GB2312" w:eastAsia="仿宋_GB2312" w:cs="仿宋_GB2312"/>
          <w:b/>
          <w:bCs w:val="0"/>
          <w:color w:val="auto"/>
          <w:kern w:val="32"/>
          <w:sz w:val="32"/>
          <w:szCs w:val="28"/>
          <w:highlight w:val="none"/>
          <w:u w:val="none"/>
          <w:lang w:val="zh-CN"/>
        </w:rPr>
        <w:t>2 调查</w:t>
      </w:r>
      <w:bookmarkEnd w:id="190"/>
      <w:bookmarkEnd w:id="191"/>
      <w:bookmarkEnd w:id="192"/>
      <w:bookmarkEnd w:id="193"/>
      <w:bookmarkEnd w:id="194"/>
      <w:r>
        <w:rPr>
          <w:rFonts w:hint="eastAsia" w:ascii="仿宋_GB2312" w:hAnsi="仿宋_GB2312" w:eastAsia="仿宋_GB2312" w:cs="仿宋_GB2312"/>
          <w:b/>
          <w:bCs w:val="0"/>
          <w:color w:val="auto"/>
          <w:kern w:val="32"/>
          <w:sz w:val="32"/>
          <w:szCs w:val="28"/>
          <w:highlight w:val="none"/>
          <w:u w:val="none"/>
          <w:lang w:val="en-US" w:eastAsia="zh-CN"/>
        </w:rPr>
        <w:t>评估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特别重大、重大</w:t>
      </w:r>
      <w:r>
        <w:rPr>
          <w:rFonts w:hint="eastAsia" w:ascii="仿宋_GB2312" w:hAnsi="仿宋_GB2312" w:eastAsia="仿宋_GB2312" w:cs="仿宋_GB2312"/>
          <w:sz w:val="32"/>
          <w:szCs w:val="32"/>
          <w:lang w:val="en-US" w:eastAsia="zh-CN"/>
        </w:rPr>
        <w:t>辐射事故的</w:t>
      </w:r>
      <w:r>
        <w:rPr>
          <w:rFonts w:hint="eastAsia" w:ascii="仿宋_GB2312" w:hAnsi="仿宋_GB2312" w:eastAsia="仿宋_GB2312" w:cs="仿宋_GB2312"/>
          <w:sz w:val="32"/>
          <w:szCs w:val="32"/>
        </w:rPr>
        <w:t>调查评估按照国家、省有关规定执行；较大</w:t>
      </w:r>
      <w:r>
        <w:rPr>
          <w:rFonts w:hint="eastAsia" w:ascii="仿宋_GB2312" w:hAnsi="仿宋_GB2312" w:eastAsia="仿宋_GB2312" w:cs="仿宋_GB2312"/>
          <w:sz w:val="32"/>
          <w:szCs w:val="32"/>
          <w:lang w:val="en-US" w:eastAsia="zh-CN"/>
        </w:rPr>
        <w:t>辐射事故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w:t>
      </w:r>
      <w:r>
        <w:rPr>
          <w:rFonts w:hint="eastAsia" w:ascii="仿宋_GB2312" w:hAnsi="仿宋_GB2312" w:eastAsia="仿宋_GB2312" w:cs="仿宋_GB2312"/>
          <w:sz w:val="32"/>
          <w:szCs w:val="32"/>
          <w:lang w:val="en-US" w:eastAsia="zh-CN"/>
        </w:rPr>
        <w:t>辐射事故的调查评估按照《深圳市突发事件总体应急预案》规定执行</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调查评估内容包括</w:t>
      </w:r>
      <w:r>
        <w:rPr>
          <w:rFonts w:hint="eastAsia" w:ascii="仿宋_GB2312" w:hAnsi="仿宋_GB2312" w:eastAsia="仿宋_GB2312" w:cs="仿宋_GB2312"/>
          <w:sz w:val="32"/>
          <w:szCs w:val="32"/>
          <w:lang w:val="en-US" w:eastAsia="zh-CN"/>
        </w:rPr>
        <w:t>但不限于</w:t>
      </w:r>
      <w:r>
        <w:rPr>
          <w:rFonts w:hint="eastAsia" w:ascii="仿宋_GB2312" w:hAnsi="仿宋_GB2312" w:eastAsia="仿宋_GB2312" w:cs="仿宋_GB2312"/>
          <w:sz w:val="32"/>
          <w:szCs w:val="32"/>
        </w:rPr>
        <w:t>：辐射事故原因、责任单位和责任人、污染范围和程度、造成的直接经济损失、人员伤亡情况、环境影响及恢复建议、责任人处理意见等。</w:t>
      </w:r>
      <w:r>
        <w:rPr>
          <w:rFonts w:hint="eastAsia" w:ascii="仿宋_GB2312" w:hAnsi="仿宋_GB2312" w:eastAsia="仿宋_GB2312" w:cs="仿宋_GB2312"/>
          <w:sz w:val="32"/>
          <w:szCs w:val="32"/>
          <w:lang w:val="en-US" w:eastAsia="zh-CN"/>
        </w:rPr>
        <w:t>并对辐射事故的经验和教训进行总结，提出改进措施。</w:t>
      </w:r>
    </w:p>
    <w:p>
      <w:pPr>
        <w:keepNext/>
        <w:keepLines/>
        <w:pageBreakBefore w:val="0"/>
        <w:kinsoku/>
        <w:wordWrap/>
        <w:overflowPunct/>
        <w:topLinePunct w:val="0"/>
        <w:autoSpaceDE/>
        <w:autoSpaceDN/>
        <w:bidi w:val="0"/>
        <w:adjustRightInd/>
        <w:snapToGrid/>
        <w:spacing w:line="560" w:lineRule="exact"/>
        <w:ind w:firstLine="642" w:firstLineChars="200"/>
        <w:textAlignment w:val="auto"/>
        <w:outlineLvl w:val="2"/>
        <w:rPr>
          <w:rFonts w:hint="eastAsia" w:ascii="楷体_GB2312" w:hAnsi="楷体" w:eastAsia="楷体_GB2312" w:cs="Times New Roman"/>
          <w:b w:val="0"/>
          <w:bCs/>
          <w:color w:val="auto"/>
          <w:kern w:val="32"/>
          <w:sz w:val="32"/>
          <w:szCs w:val="28"/>
          <w:highlight w:val="none"/>
          <w:u w:val="none"/>
          <w:lang w:val="zh-CN"/>
        </w:rPr>
      </w:pPr>
      <w:bookmarkStart w:id="195" w:name="_Toc24375"/>
      <w:bookmarkStart w:id="196" w:name="_Toc117777764"/>
      <w:bookmarkStart w:id="197" w:name="_Toc1576666060"/>
      <w:bookmarkStart w:id="198" w:name="_Toc21074"/>
      <w:bookmarkStart w:id="199" w:name="_Toc10771"/>
      <w:r>
        <w:rPr>
          <w:rFonts w:hint="eastAsia" w:ascii="仿宋_GB2312" w:hAnsi="仿宋_GB2312" w:eastAsia="仿宋_GB2312" w:cs="仿宋_GB2312"/>
          <w:b/>
          <w:bCs w:val="0"/>
          <w:color w:val="auto"/>
          <w:kern w:val="32"/>
          <w:sz w:val="32"/>
          <w:szCs w:val="28"/>
          <w:highlight w:val="none"/>
          <w:u w:val="none"/>
          <w:lang w:val="zh-CN" w:eastAsia="zh-CN"/>
        </w:rPr>
        <w:t>3.10</w:t>
      </w:r>
      <w:r>
        <w:rPr>
          <w:rFonts w:hint="eastAsia" w:ascii="仿宋_GB2312" w:hAnsi="仿宋_GB2312" w:eastAsia="仿宋_GB2312" w:cs="仿宋_GB2312"/>
          <w:b/>
          <w:bCs w:val="0"/>
          <w:color w:val="auto"/>
          <w:kern w:val="32"/>
          <w:sz w:val="32"/>
          <w:szCs w:val="28"/>
          <w:highlight w:val="none"/>
          <w:u w:val="none"/>
          <w:lang w:val="en-US" w:eastAsia="zh-CN"/>
        </w:rPr>
        <w:t>.</w:t>
      </w:r>
      <w:r>
        <w:rPr>
          <w:rFonts w:hint="eastAsia" w:ascii="仿宋_GB2312" w:hAnsi="仿宋_GB2312" w:eastAsia="仿宋_GB2312" w:cs="仿宋_GB2312"/>
          <w:b/>
          <w:bCs w:val="0"/>
          <w:color w:val="auto"/>
          <w:kern w:val="32"/>
          <w:sz w:val="32"/>
          <w:szCs w:val="28"/>
          <w:highlight w:val="none"/>
          <w:u w:val="none"/>
          <w:lang w:val="zh-CN"/>
        </w:rPr>
        <w:t>3 恢复重建</w:t>
      </w:r>
      <w:bookmarkEnd w:id="195"/>
      <w:bookmarkEnd w:id="196"/>
      <w:bookmarkEnd w:id="197"/>
      <w:bookmarkEnd w:id="198"/>
      <w:bookmarkEnd w:id="199"/>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按照谁污染谁治理的原则，辐射污染恢复费用由肇事单位承担，对无法认定肇事单位的辐射污染恢复费用，由市财政按照相关程序支付。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批准核技术利用单位恢复生产前应确认：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（1）放射性物质或者射线装置已恢复至安全使用状态。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（2）被污染的场地得到清理或修复，放射性污染监测数据已降至规定的限值以内。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（3）采取了必要的辐射安全措施防止事故再次发生。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b w:val="0"/>
          <w:bCs/>
          <w:sz w:val="32"/>
          <w:szCs w:val="32"/>
        </w:rPr>
      </w:pPr>
      <w:bookmarkStart w:id="200" w:name="_Toc9554"/>
      <w:bookmarkStart w:id="201" w:name="_Toc15516"/>
      <w:bookmarkStart w:id="202" w:name="_Toc6094"/>
      <w:bookmarkStart w:id="203" w:name="_Toc1791696492"/>
      <w:bookmarkStart w:id="204" w:name="_Toc117777765"/>
      <w:bookmarkStart w:id="205" w:name="_Toc7374"/>
      <w:bookmarkStart w:id="206" w:name="_Toc19870"/>
      <w:r>
        <w:rPr>
          <w:rFonts w:hint="eastAsia" w:ascii="黑体" w:hAnsi="黑体" w:eastAsia="黑体" w:cs="黑体"/>
          <w:b w:val="0"/>
          <w:bCs/>
          <w:sz w:val="32"/>
          <w:szCs w:val="32"/>
          <w:lang w:eastAsia="zh-CN"/>
        </w:rPr>
        <w:t>4</w:t>
      </w:r>
      <w:r>
        <w:rPr>
          <w:rFonts w:hint="eastAsia" w:ascii="黑体" w:hAnsi="黑体" w:eastAsia="黑体" w:cs="黑体"/>
          <w:b w:val="0"/>
          <w:bCs/>
          <w:sz w:val="32"/>
          <w:szCs w:val="32"/>
        </w:rPr>
        <w:t xml:space="preserve"> </w:t>
      </w:r>
      <w:bookmarkEnd w:id="200"/>
      <w:bookmarkEnd w:id="201"/>
      <w:bookmarkEnd w:id="202"/>
      <w:bookmarkEnd w:id="203"/>
      <w:bookmarkEnd w:id="204"/>
      <w:r>
        <w:rPr>
          <w:rFonts w:hint="eastAsia" w:ascii="黑体" w:hAnsi="黑体" w:eastAsia="黑体" w:cs="黑体"/>
          <w:b w:val="0"/>
          <w:bCs/>
          <w:sz w:val="32"/>
          <w:szCs w:val="32"/>
          <w:lang w:val="en-US" w:eastAsia="zh-CN"/>
        </w:rPr>
        <w:t>准备与支持</w:t>
      </w:r>
      <w:bookmarkEnd w:id="205"/>
      <w:bookmarkEnd w:id="206"/>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207" w:name="_Toc9040"/>
      <w:bookmarkStart w:id="208" w:name="_Toc12932"/>
      <w:bookmarkStart w:id="209" w:name="_Toc11334"/>
      <w:bookmarkStart w:id="210" w:name="_Toc117777766"/>
      <w:bookmarkStart w:id="211" w:name="_Toc25861"/>
      <w:bookmarkStart w:id="212" w:name="_Toc1618871042"/>
      <w:bookmarkStart w:id="213" w:name="_Toc26732"/>
      <w:r>
        <w:rPr>
          <w:rFonts w:hint="eastAsia" w:ascii="楷体_GB2312" w:hAnsi="楷体" w:eastAsia="楷体_GB2312" w:cs="Times New Roman"/>
          <w:b w:val="0"/>
          <w:bCs/>
          <w:color w:val="auto"/>
          <w:kern w:val="32"/>
          <w:sz w:val="32"/>
          <w:szCs w:val="28"/>
          <w:highlight w:val="none"/>
          <w:u w:val="none"/>
          <w:lang w:val="en-US" w:eastAsia="zh-CN"/>
        </w:rPr>
        <w:t>4</w:t>
      </w:r>
      <w:r>
        <w:rPr>
          <w:rFonts w:hint="eastAsia" w:ascii="楷体_GB2312" w:hAnsi="楷体" w:eastAsia="楷体_GB2312" w:cs="Times New Roman"/>
          <w:b w:val="0"/>
          <w:bCs/>
          <w:color w:val="auto"/>
          <w:kern w:val="32"/>
          <w:sz w:val="32"/>
          <w:szCs w:val="28"/>
          <w:highlight w:val="none"/>
          <w:u w:val="none"/>
          <w:lang w:val="zh-CN"/>
        </w:rPr>
        <w:t>.1 队伍保障</w:t>
      </w:r>
      <w:bookmarkEnd w:id="207"/>
      <w:bookmarkEnd w:id="208"/>
      <w:bookmarkEnd w:id="209"/>
      <w:bookmarkEnd w:id="210"/>
      <w:bookmarkEnd w:id="211"/>
      <w:bookmarkEnd w:id="212"/>
      <w:bookmarkEnd w:id="21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市核与辐射事故应急指挥部办公室负责</w:t>
      </w:r>
      <w:r>
        <w:rPr>
          <w:rFonts w:hint="eastAsia" w:ascii="仿宋_GB2312" w:hAnsi="仿宋_GB2312" w:eastAsia="仿宋_GB2312" w:cs="仿宋_GB2312"/>
          <w:sz w:val="32"/>
          <w:szCs w:val="32"/>
          <w:lang w:val="en-US" w:eastAsia="zh-CN"/>
        </w:rPr>
        <w:t>培训市级</w:t>
      </w:r>
      <w:r>
        <w:rPr>
          <w:rFonts w:hint="eastAsia" w:ascii="仿宋_GB2312" w:hAnsi="仿宋_GB2312" w:eastAsia="仿宋_GB2312" w:cs="仿宋_GB2312"/>
          <w:sz w:val="32"/>
          <w:szCs w:val="32"/>
        </w:rPr>
        <w:t>辐射监测和现场处置队伍；各成员单位根据应急工作需要，对承担辐射事故应急职责的工作人员开展相关的技术培训与演练，不断提高辐射事故应急处置能力。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核技术利用单位通过持续的业务培训与应急演练，不断提高岗位人员的专业技能与应急能力。</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214" w:name="_Toc31429"/>
      <w:bookmarkStart w:id="215" w:name="_Toc14654"/>
      <w:bookmarkStart w:id="216" w:name="_Toc5543"/>
      <w:bookmarkStart w:id="217" w:name="_Toc11484"/>
      <w:bookmarkStart w:id="218" w:name="_Toc7110"/>
      <w:bookmarkStart w:id="219" w:name="_Toc1160091647"/>
      <w:bookmarkStart w:id="220" w:name="_Toc117777767"/>
      <w:r>
        <w:rPr>
          <w:rFonts w:hint="eastAsia" w:ascii="楷体_GB2312" w:hAnsi="楷体" w:eastAsia="楷体_GB2312" w:cs="Times New Roman"/>
          <w:b w:val="0"/>
          <w:bCs/>
          <w:color w:val="auto"/>
          <w:kern w:val="32"/>
          <w:sz w:val="32"/>
          <w:szCs w:val="28"/>
          <w:highlight w:val="none"/>
          <w:u w:val="none"/>
          <w:lang w:val="en-US" w:eastAsia="zh-CN"/>
        </w:rPr>
        <w:t>4</w:t>
      </w:r>
      <w:r>
        <w:rPr>
          <w:rFonts w:hint="eastAsia" w:ascii="楷体_GB2312" w:hAnsi="楷体" w:eastAsia="楷体_GB2312" w:cs="Times New Roman"/>
          <w:b w:val="0"/>
          <w:bCs/>
          <w:color w:val="auto"/>
          <w:kern w:val="32"/>
          <w:sz w:val="32"/>
          <w:szCs w:val="28"/>
          <w:highlight w:val="none"/>
          <w:u w:val="none"/>
          <w:lang w:val="zh-CN"/>
        </w:rPr>
        <w:t>.2 经费保障</w:t>
      </w:r>
      <w:bookmarkEnd w:id="214"/>
      <w:bookmarkEnd w:id="215"/>
      <w:bookmarkEnd w:id="216"/>
      <w:bookmarkEnd w:id="217"/>
      <w:bookmarkEnd w:id="218"/>
      <w:bookmarkEnd w:id="219"/>
      <w:bookmarkEnd w:id="22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市核与辐射事故应急指挥部各成员单位将辐射事故预防、应急准备和应急响应所需资金，按相关规定纳入年度财政预算。</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221" w:name="_Toc28247"/>
      <w:bookmarkStart w:id="222" w:name="_Toc1350"/>
      <w:bookmarkStart w:id="223" w:name="_Toc15323"/>
      <w:bookmarkStart w:id="224" w:name="_Toc31066"/>
      <w:bookmarkStart w:id="225" w:name="_Toc32303"/>
      <w:bookmarkStart w:id="226" w:name="_Toc117777768"/>
      <w:bookmarkStart w:id="227" w:name="_Toc483322548"/>
      <w:r>
        <w:rPr>
          <w:rFonts w:hint="eastAsia" w:ascii="楷体_GB2312" w:hAnsi="楷体" w:eastAsia="楷体_GB2312" w:cs="Times New Roman"/>
          <w:b w:val="0"/>
          <w:bCs/>
          <w:color w:val="auto"/>
          <w:kern w:val="32"/>
          <w:sz w:val="32"/>
          <w:szCs w:val="28"/>
          <w:highlight w:val="none"/>
          <w:u w:val="none"/>
          <w:lang w:val="en-US" w:eastAsia="zh-CN"/>
        </w:rPr>
        <w:t>4</w:t>
      </w:r>
      <w:r>
        <w:rPr>
          <w:rFonts w:hint="eastAsia" w:ascii="楷体_GB2312" w:hAnsi="楷体" w:eastAsia="楷体_GB2312" w:cs="Times New Roman"/>
          <w:b w:val="0"/>
          <w:bCs/>
          <w:color w:val="auto"/>
          <w:kern w:val="32"/>
          <w:sz w:val="32"/>
          <w:szCs w:val="28"/>
          <w:highlight w:val="none"/>
          <w:u w:val="none"/>
          <w:lang w:val="zh-CN"/>
        </w:rPr>
        <w:t>.3 装备保障</w:t>
      </w:r>
      <w:bookmarkEnd w:id="221"/>
      <w:bookmarkEnd w:id="222"/>
      <w:bookmarkEnd w:id="223"/>
      <w:bookmarkEnd w:id="224"/>
      <w:bookmarkEnd w:id="225"/>
      <w:bookmarkEnd w:id="226"/>
      <w:bookmarkEnd w:id="22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市、区生态环境主管部门</w:t>
      </w:r>
      <w:r>
        <w:rPr>
          <w:rFonts w:hint="eastAsia" w:ascii="仿宋_GB2312" w:hAnsi="仿宋_GB2312" w:eastAsia="仿宋_GB2312" w:cs="仿宋_GB2312"/>
          <w:sz w:val="32"/>
          <w:szCs w:val="32"/>
        </w:rPr>
        <w:t>依据我市的辐射风险特点，采购、贮备、维护和更新一定数量的辐射事故现场处置、应急监测、安全防护等应急装备。依据辖区的辐射风险特点配备必要的辐射监测与安全防护装备。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辐射应急仪器与装置所属单位应做好维护保养并定期测试、检定、校准，确保处于良好备用状态。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核技术利用单位依据自身的辐射风险特点，针对性配备适量的辐射安全防护装备和辐射监测仪器，做好维护保养。</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228" w:name="_Toc20796"/>
      <w:bookmarkStart w:id="229" w:name="_Toc117777769"/>
      <w:bookmarkStart w:id="230" w:name="_Toc29674"/>
      <w:bookmarkStart w:id="231" w:name="_Toc12514"/>
      <w:bookmarkStart w:id="232" w:name="_Toc15482"/>
      <w:bookmarkStart w:id="233" w:name="_Toc7263"/>
      <w:bookmarkStart w:id="234" w:name="_Toc1161060272"/>
      <w:r>
        <w:rPr>
          <w:rFonts w:hint="eastAsia" w:ascii="楷体_GB2312" w:hAnsi="楷体" w:eastAsia="楷体_GB2312" w:cs="Times New Roman"/>
          <w:b w:val="0"/>
          <w:bCs/>
          <w:color w:val="auto"/>
          <w:kern w:val="32"/>
          <w:sz w:val="32"/>
          <w:szCs w:val="28"/>
          <w:highlight w:val="none"/>
          <w:u w:val="none"/>
          <w:lang w:val="en-US" w:eastAsia="zh-CN"/>
        </w:rPr>
        <w:t>4</w:t>
      </w:r>
      <w:r>
        <w:rPr>
          <w:rFonts w:hint="eastAsia" w:ascii="楷体_GB2312" w:hAnsi="楷体" w:eastAsia="楷体_GB2312" w:cs="Times New Roman"/>
          <w:b w:val="0"/>
          <w:bCs/>
          <w:color w:val="auto"/>
          <w:kern w:val="32"/>
          <w:sz w:val="32"/>
          <w:szCs w:val="28"/>
          <w:highlight w:val="none"/>
          <w:u w:val="none"/>
          <w:lang w:val="zh-CN"/>
        </w:rPr>
        <w:t>.4 专业保障</w:t>
      </w:r>
      <w:bookmarkEnd w:id="228"/>
      <w:bookmarkEnd w:id="229"/>
      <w:bookmarkEnd w:id="230"/>
      <w:bookmarkEnd w:id="231"/>
      <w:bookmarkEnd w:id="232"/>
      <w:bookmarkEnd w:id="233"/>
      <w:bookmarkEnd w:id="23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生态环境局根据需要委托相关高等学校、科研院所、专业咨询服务机构开展辐射安全技术攻关和应急处置技术研究，研究内容主要包括辐射事故预防措施、辐射应急监测技术、辐射应急处置技术、辐射安全防护技术等，为应对辐射事故进行专业积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rPr>
      </w:pPr>
      <w:bookmarkStart w:id="235" w:name="_Toc31412"/>
      <w:bookmarkStart w:id="236" w:name="_Toc117777770"/>
      <w:bookmarkStart w:id="237" w:name="_Toc9522"/>
      <w:bookmarkStart w:id="238" w:name="_Toc13296"/>
      <w:bookmarkStart w:id="239" w:name="_Toc31545"/>
      <w:bookmarkStart w:id="240" w:name="_Toc960521740"/>
      <w:bookmarkStart w:id="241" w:name="_Toc8033"/>
      <w:r>
        <w:rPr>
          <w:rFonts w:hint="eastAsia" w:ascii="黑体" w:hAnsi="黑体" w:eastAsia="黑体" w:cs="黑体"/>
          <w:b w:val="0"/>
          <w:bCs/>
          <w:sz w:val="32"/>
          <w:szCs w:val="32"/>
          <w:lang w:eastAsia="zh-CN"/>
        </w:rPr>
        <w:t>5</w:t>
      </w:r>
      <w:r>
        <w:rPr>
          <w:rFonts w:hint="eastAsia" w:ascii="黑体" w:hAnsi="黑体" w:eastAsia="黑体" w:cs="黑体"/>
          <w:b w:val="0"/>
          <w:bCs/>
          <w:sz w:val="32"/>
          <w:szCs w:val="32"/>
        </w:rPr>
        <w:t xml:space="preserve"> 监督管理</w:t>
      </w:r>
      <w:bookmarkEnd w:id="235"/>
      <w:bookmarkEnd w:id="236"/>
      <w:bookmarkEnd w:id="237"/>
      <w:bookmarkEnd w:id="238"/>
      <w:bookmarkEnd w:id="239"/>
      <w:bookmarkEnd w:id="240"/>
      <w:bookmarkEnd w:id="241"/>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242" w:name="_Toc2692"/>
      <w:bookmarkStart w:id="243" w:name="_Toc1034892757"/>
      <w:bookmarkStart w:id="244" w:name="_Toc25840"/>
      <w:bookmarkStart w:id="245" w:name="_Toc22371"/>
      <w:bookmarkStart w:id="246" w:name="_Toc18762"/>
      <w:bookmarkStart w:id="247" w:name="_Toc117777771"/>
      <w:bookmarkStart w:id="248" w:name="_Toc7816"/>
      <w:r>
        <w:rPr>
          <w:rFonts w:hint="eastAsia" w:ascii="楷体_GB2312" w:hAnsi="楷体" w:eastAsia="楷体_GB2312" w:cs="Times New Roman"/>
          <w:b w:val="0"/>
          <w:bCs/>
          <w:color w:val="auto"/>
          <w:kern w:val="32"/>
          <w:sz w:val="32"/>
          <w:szCs w:val="28"/>
          <w:highlight w:val="none"/>
          <w:u w:val="none"/>
          <w:lang w:val="en-US" w:eastAsia="zh-CN"/>
        </w:rPr>
        <w:t>5</w:t>
      </w:r>
      <w:r>
        <w:rPr>
          <w:rFonts w:hint="eastAsia" w:ascii="楷体_GB2312" w:hAnsi="楷体" w:eastAsia="楷体_GB2312" w:cs="Times New Roman"/>
          <w:b w:val="0"/>
          <w:bCs/>
          <w:color w:val="auto"/>
          <w:kern w:val="32"/>
          <w:sz w:val="32"/>
          <w:szCs w:val="28"/>
          <w:highlight w:val="none"/>
          <w:u w:val="none"/>
          <w:lang w:val="zh-CN"/>
        </w:rPr>
        <w:t xml:space="preserve">.1 </w:t>
      </w:r>
      <w:r>
        <w:rPr>
          <w:rFonts w:hint="eastAsia" w:ascii="楷体_GB2312" w:hAnsi="楷体" w:eastAsia="楷体_GB2312" w:cs="Times New Roman"/>
          <w:b w:val="0"/>
          <w:bCs/>
          <w:color w:val="auto"/>
          <w:kern w:val="32"/>
          <w:sz w:val="32"/>
          <w:szCs w:val="28"/>
          <w:highlight w:val="none"/>
          <w:u w:val="none"/>
          <w:lang w:val="en-US" w:eastAsia="zh-CN"/>
        </w:rPr>
        <w:t>宣传</w:t>
      </w:r>
      <w:r>
        <w:rPr>
          <w:rFonts w:hint="eastAsia" w:ascii="楷体_GB2312" w:hAnsi="楷体" w:eastAsia="楷体_GB2312" w:cs="Times New Roman"/>
          <w:b w:val="0"/>
          <w:bCs/>
          <w:color w:val="auto"/>
          <w:kern w:val="32"/>
          <w:sz w:val="32"/>
          <w:szCs w:val="28"/>
          <w:highlight w:val="none"/>
          <w:u w:val="none"/>
          <w:lang w:val="zh-CN"/>
        </w:rPr>
        <w:t>培训</w:t>
      </w:r>
      <w:bookmarkEnd w:id="242"/>
      <w:bookmarkEnd w:id="243"/>
      <w:bookmarkEnd w:id="244"/>
      <w:bookmarkEnd w:id="245"/>
      <w:bookmarkEnd w:id="246"/>
      <w:bookmarkEnd w:id="247"/>
      <w:bookmarkEnd w:id="248"/>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市生态环境局</w:t>
      </w:r>
      <w:r>
        <w:rPr>
          <w:rFonts w:hint="eastAsia" w:ascii="仿宋_GB2312" w:hAnsi="仿宋_GB2312" w:eastAsia="仿宋_GB2312" w:cs="仿宋_GB2312"/>
          <w:sz w:val="32"/>
          <w:szCs w:val="32"/>
        </w:rPr>
        <w:t>每年定期或不定期组织开展</w:t>
      </w:r>
      <w:r>
        <w:rPr>
          <w:rFonts w:hint="eastAsia" w:ascii="仿宋_GB2312" w:hAnsi="仿宋_GB2312" w:eastAsia="仿宋_GB2312" w:cs="仿宋_GB2312"/>
          <w:sz w:val="32"/>
          <w:szCs w:val="32"/>
          <w:lang w:val="en-US" w:eastAsia="zh-CN"/>
        </w:rPr>
        <w:t>辐射事故</w:t>
      </w:r>
      <w:r>
        <w:rPr>
          <w:rFonts w:hint="eastAsia" w:ascii="仿宋_GB2312" w:hAnsi="仿宋_GB2312" w:eastAsia="仿宋_GB2312" w:cs="仿宋_GB2312"/>
          <w:sz w:val="32"/>
          <w:szCs w:val="32"/>
        </w:rPr>
        <w:t>专题培训，学习研讨辐射安全政策法规和技术标准，提高相关岗位人员应对辐射事故的专业知识与技能。核技术利用单位组织涉辐射岗位人员参加辐射安全与应急业务培训。</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249" w:name="_Toc2033238083"/>
      <w:bookmarkStart w:id="250" w:name="_Toc29032"/>
      <w:bookmarkStart w:id="251" w:name="_Toc117777772"/>
      <w:bookmarkStart w:id="252" w:name="_Toc7518"/>
      <w:bookmarkStart w:id="253" w:name="_Toc18418"/>
      <w:bookmarkStart w:id="254" w:name="_Toc29498"/>
      <w:bookmarkStart w:id="255" w:name="_Toc23055"/>
      <w:r>
        <w:rPr>
          <w:rFonts w:hint="eastAsia" w:ascii="楷体_GB2312" w:hAnsi="楷体" w:eastAsia="楷体_GB2312" w:cs="Times New Roman"/>
          <w:b w:val="0"/>
          <w:bCs/>
          <w:color w:val="auto"/>
          <w:kern w:val="32"/>
          <w:sz w:val="32"/>
          <w:szCs w:val="28"/>
          <w:highlight w:val="none"/>
          <w:u w:val="none"/>
          <w:lang w:val="en-US" w:eastAsia="zh-CN"/>
        </w:rPr>
        <w:t>5</w:t>
      </w:r>
      <w:r>
        <w:rPr>
          <w:rFonts w:hint="eastAsia" w:ascii="楷体_GB2312" w:hAnsi="楷体" w:eastAsia="楷体_GB2312" w:cs="Times New Roman"/>
          <w:b w:val="0"/>
          <w:bCs/>
          <w:color w:val="auto"/>
          <w:kern w:val="32"/>
          <w:sz w:val="32"/>
          <w:szCs w:val="28"/>
          <w:highlight w:val="none"/>
          <w:u w:val="none"/>
          <w:lang w:val="zh-CN"/>
        </w:rPr>
        <w:t xml:space="preserve">.2 </w:t>
      </w:r>
      <w:r>
        <w:rPr>
          <w:rFonts w:hint="eastAsia" w:ascii="楷体_GB2312" w:hAnsi="楷体" w:eastAsia="楷体_GB2312" w:cs="Times New Roman"/>
          <w:b w:val="0"/>
          <w:bCs/>
          <w:color w:val="auto"/>
          <w:kern w:val="32"/>
          <w:sz w:val="32"/>
          <w:szCs w:val="28"/>
          <w:highlight w:val="none"/>
          <w:u w:val="none"/>
          <w:lang w:val="en-US" w:eastAsia="zh-CN"/>
        </w:rPr>
        <w:t>应急</w:t>
      </w:r>
      <w:r>
        <w:rPr>
          <w:rFonts w:hint="eastAsia" w:ascii="楷体_GB2312" w:hAnsi="楷体" w:eastAsia="楷体_GB2312" w:cs="Times New Roman"/>
          <w:b w:val="0"/>
          <w:bCs/>
          <w:color w:val="auto"/>
          <w:kern w:val="32"/>
          <w:sz w:val="32"/>
          <w:szCs w:val="28"/>
          <w:highlight w:val="none"/>
          <w:u w:val="none"/>
          <w:lang w:val="zh-CN"/>
        </w:rPr>
        <w:t>演练</w:t>
      </w:r>
      <w:bookmarkEnd w:id="249"/>
      <w:bookmarkEnd w:id="250"/>
      <w:bookmarkEnd w:id="251"/>
      <w:bookmarkEnd w:id="252"/>
      <w:bookmarkEnd w:id="253"/>
      <w:bookmarkEnd w:id="254"/>
      <w:bookmarkEnd w:id="255"/>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市生态环境局</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至少组织开展一次辐射事故应急演练，提升辐射应急指挥协调和快速处置能力，并对演练效果进行总结和评估。根据工作需要，可随时组织开展辐射应急专项演练。核技术利用单位每年至少组织开展一次辐射事故</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应急演练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提升本单位辐射事故应急处置能力。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仿宋_GB2312" w:hAnsi="仿宋_GB2312" w:eastAsia="仿宋_GB2312" w:cs="仿宋_GB2312"/>
          <w:sz w:val="32"/>
          <w:szCs w:val="32"/>
          <w:lang w:val="en-US" w:eastAsia="zh-CN"/>
        </w:rPr>
      </w:pPr>
      <w:bookmarkStart w:id="256" w:name="_Toc14081"/>
      <w:bookmarkStart w:id="257" w:name="_Toc4752"/>
      <w:r>
        <w:rPr>
          <w:rFonts w:hint="default" w:ascii="楷体_GB2312" w:hAnsi="楷体" w:eastAsia="楷体_GB2312" w:cs="Times New Roman"/>
          <w:bCs/>
          <w:color w:val="auto"/>
          <w:kern w:val="32"/>
          <w:sz w:val="32"/>
          <w:szCs w:val="28"/>
          <w:highlight w:val="none"/>
          <w:u w:val="none"/>
          <w:lang w:val="en-US" w:eastAsia="zh-CN"/>
        </w:rPr>
        <w:t>5.3</w:t>
      </w:r>
      <w:r>
        <w:rPr>
          <w:rFonts w:hint="eastAsia" w:ascii="楷体_GB2312" w:hAnsi="楷体" w:eastAsia="楷体_GB2312" w:cs="Times New Roman"/>
          <w:bCs/>
          <w:color w:val="auto"/>
          <w:kern w:val="32"/>
          <w:sz w:val="32"/>
          <w:szCs w:val="28"/>
          <w:highlight w:val="none"/>
          <w:u w:val="none"/>
          <w:lang w:val="en-US" w:eastAsia="zh-CN"/>
        </w:rPr>
        <w:t xml:space="preserve"> 监督检查</w:t>
      </w:r>
      <w:bookmarkEnd w:id="256"/>
      <w:bookmarkEnd w:id="25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市生态环境局和其他有关部门应当按照各自职责对生产、销售、使用放射性同位素和射线装置的单位进行安全和应急工作监督检查。被检查单位应当予以配合，如实反映情况，提供必要的资料，不得拒绝和阻碍。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258" w:name="_Toc24752"/>
      <w:bookmarkStart w:id="259" w:name="_Toc2298"/>
      <w:r>
        <w:rPr>
          <w:rFonts w:hint="default" w:ascii="楷体_GB2312" w:hAnsi="楷体" w:eastAsia="楷体_GB2312" w:cs="Times New Roman"/>
          <w:bCs/>
          <w:color w:val="auto"/>
          <w:kern w:val="32"/>
          <w:sz w:val="32"/>
          <w:szCs w:val="28"/>
          <w:highlight w:val="none"/>
          <w:u w:val="none"/>
          <w:lang w:val="en-US" w:eastAsia="zh-CN"/>
        </w:rPr>
        <w:t>5.</w:t>
      </w:r>
      <w:r>
        <w:rPr>
          <w:rFonts w:hint="eastAsia" w:ascii="楷体_GB2312" w:hAnsi="楷体" w:eastAsia="楷体_GB2312" w:cs="Times New Roman"/>
          <w:bCs/>
          <w:color w:val="auto"/>
          <w:kern w:val="32"/>
          <w:sz w:val="32"/>
          <w:szCs w:val="28"/>
          <w:highlight w:val="none"/>
          <w:u w:val="none"/>
          <w:lang w:val="en-US" w:eastAsia="zh-CN"/>
        </w:rPr>
        <w:t xml:space="preserve">4 </w:t>
      </w:r>
      <w:r>
        <w:rPr>
          <w:rFonts w:hint="default" w:ascii="楷体_GB2312" w:hAnsi="楷体" w:eastAsia="楷体_GB2312" w:cs="Times New Roman"/>
          <w:bCs/>
          <w:color w:val="auto"/>
          <w:kern w:val="32"/>
          <w:sz w:val="32"/>
          <w:szCs w:val="28"/>
          <w:highlight w:val="none"/>
          <w:u w:val="none"/>
          <w:lang w:val="en-US" w:eastAsia="zh-CN"/>
        </w:rPr>
        <w:t>责任奖惩</w:t>
      </w:r>
      <w:bookmarkEnd w:id="258"/>
      <w:bookmarkEnd w:id="259"/>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核与辐射事故应急指挥部办公室根据事故调查报告，提请市委、市政府对在辐射事故应急处置过程中做出贡献的部门、单位和个人予以表扬；对迟报、谎报、瞒报和漏报辐射事故重要情况，不依法履行辐射事故应急职责，应急处置不力，或者应急管理工作中有其他失职、渎职行为的，依照有关规定给予党纪、政务处分；构成犯罪的，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rPr>
      </w:pPr>
      <w:bookmarkStart w:id="260" w:name="_Toc517"/>
      <w:bookmarkStart w:id="261" w:name="_Toc1922482770"/>
      <w:bookmarkStart w:id="262" w:name="_Toc18559"/>
      <w:bookmarkStart w:id="263" w:name="_Toc5585"/>
      <w:bookmarkStart w:id="264" w:name="_Toc21101"/>
      <w:bookmarkStart w:id="265" w:name="_Toc117777773"/>
      <w:bookmarkStart w:id="266" w:name="_Toc9175"/>
      <w:r>
        <w:rPr>
          <w:rFonts w:hint="eastAsia" w:ascii="黑体" w:hAnsi="黑体" w:eastAsia="黑体" w:cs="黑体"/>
          <w:sz w:val="32"/>
          <w:szCs w:val="32"/>
          <w:lang w:eastAsia="zh-CN"/>
        </w:rPr>
        <w:t>6</w:t>
      </w:r>
      <w:r>
        <w:rPr>
          <w:rFonts w:hint="eastAsia" w:ascii="黑体" w:hAnsi="黑体" w:eastAsia="黑体" w:cs="黑体"/>
          <w:b w:val="0"/>
          <w:bCs/>
          <w:sz w:val="32"/>
          <w:szCs w:val="32"/>
        </w:rPr>
        <w:t xml:space="preserve"> 附则</w:t>
      </w:r>
      <w:bookmarkEnd w:id="260"/>
      <w:bookmarkEnd w:id="261"/>
      <w:bookmarkEnd w:id="262"/>
      <w:bookmarkEnd w:id="263"/>
      <w:bookmarkEnd w:id="264"/>
      <w:bookmarkEnd w:id="265"/>
      <w:bookmarkEnd w:id="266"/>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267" w:name="_Toc236"/>
      <w:bookmarkStart w:id="268" w:name="_Toc27941"/>
      <w:bookmarkStart w:id="269" w:name="_Toc1535809297"/>
      <w:bookmarkStart w:id="270" w:name="_Toc22979"/>
      <w:bookmarkStart w:id="271" w:name="_Toc117777774"/>
      <w:bookmarkStart w:id="272" w:name="_Toc24076"/>
      <w:bookmarkStart w:id="273" w:name="_Toc31746"/>
      <w:r>
        <w:rPr>
          <w:rFonts w:hint="eastAsia" w:ascii="楷体_GB2312" w:hAnsi="楷体" w:eastAsia="楷体_GB2312" w:cs="Times New Roman"/>
          <w:b w:val="0"/>
          <w:bCs/>
          <w:color w:val="auto"/>
          <w:kern w:val="32"/>
          <w:sz w:val="32"/>
          <w:szCs w:val="28"/>
          <w:highlight w:val="none"/>
          <w:u w:val="none"/>
          <w:lang w:val="en-US" w:eastAsia="zh-CN"/>
        </w:rPr>
        <w:t>6</w:t>
      </w:r>
      <w:r>
        <w:rPr>
          <w:rFonts w:hint="eastAsia" w:ascii="楷体_GB2312" w:hAnsi="楷体" w:eastAsia="楷体_GB2312" w:cs="Times New Roman"/>
          <w:b w:val="0"/>
          <w:bCs/>
          <w:color w:val="auto"/>
          <w:kern w:val="32"/>
          <w:sz w:val="32"/>
          <w:szCs w:val="28"/>
          <w:highlight w:val="none"/>
          <w:u w:val="none"/>
          <w:lang w:val="zh-CN"/>
        </w:rPr>
        <w:t>.1 定义</w:t>
      </w:r>
      <w:bookmarkEnd w:id="267"/>
      <w:bookmarkEnd w:id="268"/>
      <w:bookmarkEnd w:id="269"/>
      <w:bookmarkEnd w:id="270"/>
      <w:bookmarkEnd w:id="271"/>
      <w:bookmarkEnd w:id="272"/>
      <w:bookmarkEnd w:id="27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（1）辐射事故</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指放射源丢失、被盗、失控，或者放射性同位素和射线装置失控导致人员受到意外的异常照射。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（2）放射源是指除研究堆和动力堆燃料循环范畴的材料以外，永久密封在容器中或者有严密包装并呈固态的放射性材料。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（3）射线装置指X线机、加速器、中子发生器以及含放射源的装置。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（4）放射性污染是指由于人类活动造成物料、人体、场所、环境介质表面或者内部出现超过国家标准的放射性物质或者射线。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（5）放射性同位素是指某种发生放射性衰变的元素中具有相同原子序数但质量不同的核素。</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274" w:name="_Toc117777775"/>
      <w:bookmarkStart w:id="275" w:name="_Toc2135"/>
      <w:bookmarkStart w:id="276" w:name="_Toc440563029"/>
      <w:bookmarkStart w:id="277" w:name="_Toc20491"/>
      <w:bookmarkStart w:id="278" w:name="_Toc14872"/>
      <w:bookmarkStart w:id="279" w:name="_Toc23547"/>
      <w:bookmarkStart w:id="280" w:name="_Toc27156"/>
      <w:r>
        <w:rPr>
          <w:rFonts w:hint="eastAsia" w:ascii="楷体_GB2312" w:hAnsi="楷体" w:eastAsia="楷体_GB2312" w:cs="Times New Roman"/>
          <w:b w:val="0"/>
          <w:bCs/>
          <w:color w:val="auto"/>
          <w:kern w:val="32"/>
          <w:sz w:val="32"/>
          <w:szCs w:val="28"/>
          <w:highlight w:val="none"/>
          <w:u w:val="none"/>
          <w:lang w:val="en-US" w:eastAsia="zh-CN"/>
        </w:rPr>
        <w:t>6</w:t>
      </w:r>
      <w:r>
        <w:rPr>
          <w:rFonts w:hint="eastAsia" w:ascii="楷体_GB2312" w:hAnsi="楷体" w:eastAsia="楷体_GB2312" w:cs="Times New Roman"/>
          <w:b w:val="0"/>
          <w:bCs/>
          <w:color w:val="auto"/>
          <w:kern w:val="32"/>
          <w:sz w:val="32"/>
          <w:szCs w:val="28"/>
          <w:highlight w:val="none"/>
          <w:u w:val="none"/>
          <w:lang w:val="zh-CN"/>
        </w:rPr>
        <w:t>.2 预案管理</w:t>
      </w:r>
      <w:bookmarkEnd w:id="274"/>
      <w:bookmarkEnd w:id="275"/>
      <w:bookmarkEnd w:id="276"/>
      <w:bookmarkEnd w:id="277"/>
      <w:bookmarkEnd w:id="278"/>
      <w:bookmarkEnd w:id="279"/>
      <w:bookmarkEnd w:id="280"/>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本预案每</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年评估一次，分析评价应急预案内容的针对性、实用性和可操作性，根据评估意见适时修订。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有下列情形之一的，应及时修订应急预案：</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）有关法律、法规、规章、标准、上位预案中的规定发生变化的</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）应急指挥机构及其职责发生重大调整的</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）面临的风险发生重大变化的</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）重要应急资源发生重大变化的</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）预案中的其他重要信息发生变化的</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辐射事故</w:t>
      </w:r>
      <w:r>
        <w:rPr>
          <w:rFonts w:hint="eastAsia" w:ascii="仿宋_GB2312" w:hAnsi="仿宋_GB2312" w:eastAsia="仿宋_GB2312" w:cs="仿宋_GB2312"/>
          <w:sz w:val="32"/>
          <w:szCs w:val="32"/>
        </w:rPr>
        <w:t>实际应对</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应急演练中发现问题需要作出重大调整的</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）应急预案编制单位认为应修订的其他情况。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本预案</w:t>
      </w:r>
      <w:r>
        <w:rPr>
          <w:rFonts w:hint="eastAsia" w:ascii="仿宋_GB2312" w:hAnsi="Times New Roman" w:eastAsia="仿宋_GB2312" w:cs="Times New Roman"/>
          <w:color w:val="auto"/>
          <w:kern w:val="32"/>
          <w:sz w:val="32"/>
          <w:szCs w:val="20"/>
          <w:highlight w:val="none"/>
          <w:u w:val="none"/>
        </w:rPr>
        <w:t>由市</w:t>
      </w:r>
      <w:r>
        <w:rPr>
          <w:rFonts w:hint="eastAsia" w:ascii="仿宋_GB2312" w:hAnsi="Times New Roman" w:eastAsia="仿宋_GB2312" w:cs="Times New Roman"/>
          <w:color w:val="auto"/>
          <w:kern w:val="32"/>
          <w:sz w:val="32"/>
          <w:szCs w:val="20"/>
          <w:highlight w:val="none"/>
          <w:u w:val="none"/>
          <w:lang w:val="en-US" w:eastAsia="zh-CN"/>
        </w:rPr>
        <w:t>生态环境</w:t>
      </w:r>
      <w:r>
        <w:rPr>
          <w:rFonts w:hint="eastAsia" w:ascii="仿宋_GB2312" w:hAnsi="Times New Roman" w:eastAsia="仿宋_GB2312" w:cs="Times New Roman"/>
          <w:color w:val="auto"/>
          <w:kern w:val="32"/>
          <w:sz w:val="32"/>
          <w:szCs w:val="20"/>
          <w:highlight w:val="none"/>
          <w:u w:val="none"/>
        </w:rPr>
        <w:t>局负责解释</w:t>
      </w:r>
      <w:r>
        <w:rPr>
          <w:rFonts w:hint="eastAsia" w:ascii="仿宋_GB2312" w:hAnsi="仿宋_GB2312" w:eastAsia="仿宋_GB2312" w:cs="仿宋_GB2312"/>
          <w:sz w:val="32"/>
          <w:szCs w:val="32"/>
        </w:rPr>
        <w:t>。</w:t>
      </w:r>
    </w:p>
    <w:p>
      <w:pPr>
        <w:keepNext/>
        <w:keepLines/>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 w:eastAsia="楷体_GB2312" w:cs="Times New Roman"/>
          <w:b w:val="0"/>
          <w:bCs/>
          <w:color w:val="auto"/>
          <w:kern w:val="32"/>
          <w:sz w:val="32"/>
          <w:szCs w:val="28"/>
          <w:highlight w:val="none"/>
          <w:u w:val="none"/>
          <w:lang w:val="zh-CN"/>
        </w:rPr>
      </w:pPr>
      <w:bookmarkStart w:id="281" w:name="_Toc23004"/>
      <w:bookmarkStart w:id="282" w:name="_Toc11559"/>
      <w:bookmarkStart w:id="283" w:name="_Toc14847"/>
      <w:bookmarkStart w:id="284" w:name="_Toc23478"/>
      <w:bookmarkStart w:id="285" w:name="_Toc1225229584"/>
      <w:bookmarkStart w:id="286" w:name="_Toc117777776"/>
      <w:bookmarkStart w:id="287" w:name="_Toc20743"/>
      <w:r>
        <w:rPr>
          <w:rFonts w:hint="eastAsia" w:ascii="楷体_GB2312" w:hAnsi="楷体" w:eastAsia="楷体_GB2312" w:cs="Times New Roman"/>
          <w:b w:val="0"/>
          <w:bCs/>
          <w:color w:val="auto"/>
          <w:kern w:val="32"/>
          <w:sz w:val="32"/>
          <w:szCs w:val="28"/>
          <w:highlight w:val="none"/>
          <w:u w:val="none"/>
          <w:lang w:val="en-US" w:eastAsia="zh-CN"/>
        </w:rPr>
        <w:t>6</w:t>
      </w:r>
      <w:r>
        <w:rPr>
          <w:rFonts w:hint="eastAsia" w:ascii="楷体_GB2312" w:hAnsi="楷体" w:eastAsia="楷体_GB2312" w:cs="Times New Roman"/>
          <w:b w:val="0"/>
          <w:bCs/>
          <w:color w:val="auto"/>
          <w:kern w:val="32"/>
          <w:sz w:val="32"/>
          <w:szCs w:val="28"/>
          <w:highlight w:val="none"/>
          <w:u w:val="none"/>
          <w:lang w:val="zh-CN"/>
        </w:rPr>
        <w:t>.3 预案实施时间</w:t>
      </w:r>
      <w:bookmarkEnd w:id="281"/>
      <w:bookmarkEnd w:id="282"/>
      <w:bookmarkEnd w:id="283"/>
      <w:bookmarkEnd w:id="284"/>
      <w:bookmarkEnd w:id="285"/>
      <w:bookmarkEnd w:id="286"/>
      <w:bookmarkEnd w:id="28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本预案自发布之日起实施。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sz w:val="32"/>
          <w:szCs w:val="32"/>
        </w:rPr>
      </w:pPr>
      <w:bookmarkStart w:id="288" w:name="_Toc14830"/>
      <w:bookmarkStart w:id="289" w:name="_Toc30528"/>
      <w:bookmarkStart w:id="290" w:name="_Toc1771718235"/>
      <w:bookmarkStart w:id="291" w:name="_Toc7903"/>
      <w:bookmarkStart w:id="292" w:name="_Toc117777777"/>
      <w:bookmarkStart w:id="293" w:name="_Toc5864"/>
      <w:bookmarkStart w:id="294" w:name="_Toc21391"/>
      <w:r>
        <w:rPr>
          <w:rFonts w:hint="eastAsia" w:ascii="黑体" w:hAnsi="黑体" w:eastAsia="黑体" w:cs="黑体"/>
          <w:b w:val="0"/>
          <w:bCs/>
          <w:sz w:val="32"/>
          <w:szCs w:val="32"/>
          <w:lang w:eastAsia="zh-CN"/>
        </w:rPr>
        <w:t>7</w:t>
      </w:r>
      <w:r>
        <w:rPr>
          <w:rFonts w:hint="eastAsia" w:ascii="黑体" w:hAnsi="黑体" w:eastAsia="黑体" w:cs="黑体"/>
          <w:b w:val="0"/>
          <w:bCs/>
          <w:sz w:val="32"/>
          <w:szCs w:val="32"/>
        </w:rPr>
        <w:t xml:space="preserve"> 附件</w:t>
      </w:r>
      <w:bookmarkEnd w:id="288"/>
      <w:bookmarkEnd w:id="289"/>
      <w:bookmarkEnd w:id="290"/>
      <w:bookmarkEnd w:id="291"/>
      <w:bookmarkEnd w:id="292"/>
      <w:bookmarkEnd w:id="293"/>
      <w:bookmarkEnd w:id="29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bookmarkStart w:id="295" w:name="_Toc25296"/>
      <w:bookmarkStart w:id="296" w:name="_Toc155"/>
      <w:r>
        <w:rPr>
          <w:rFonts w:hint="eastAsia" w:ascii="仿宋_GB2312" w:hAnsi="仿宋_GB2312" w:eastAsia="仿宋_GB2312" w:cs="仿宋_GB2312"/>
          <w:sz w:val="32"/>
          <w:szCs w:val="32"/>
        </w:rPr>
        <w:t>附件1：深圳市辐射事故初始信息报告表</w:t>
      </w:r>
      <w:bookmarkEnd w:id="295"/>
      <w:bookmarkEnd w:id="29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bookmarkStart w:id="297" w:name="_Toc22666"/>
      <w:bookmarkStart w:id="298" w:name="_Toc12605"/>
      <w:r>
        <w:rPr>
          <w:rFonts w:hint="eastAsia" w:ascii="仿宋_GB2312" w:hAnsi="仿宋_GB2312" w:eastAsia="仿宋_GB2312" w:cs="仿宋_GB2312"/>
          <w:sz w:val="32"/>
          <w:szCs w:val="32"/>
        </w:rPr>
        <w:t>附件2：深圳市辐射事故后续信息报告表</w:t>
      </w:r>
      <w:bookmarkEnd w:id="297"/>
      <w:bookmarkEnd w:id="29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附件3：深圳市辐射事故总结报告表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附件4：深圳市辐射事故应急处置流程图</w:t>
      </w:r>
    </w:p>
    <w:p>
      <w:pPr>
        <w:spacing w:before="156" w:beforeLines="50" w:after="156" w:afterLines="50" w:line="360" w:lineRule="auto"/>
        <w:outlineLvl w:val="1"/>
        <w:rPr>
          <w:rFonts w:ascii="宋体" w:hAnsi="宋体" w:eastAsia="宋体" w:cs="宋体"/>
          <w:b/>
          <w:sz w:val="24"/>
          <w:szCs w:val="24"/>
        </w:rPr>
      </w:pPr>
      <w:r>
        <w:rPr>
          <w:rFonts w:ascii="Times New Roman" w:hAnsi="Times New Roman" w:eastAsia="宋体" w:cs="Times New Roman"/>
        </w:rPr>
        <w:br w:type="page"/>
      </w:r>
      <w:bookmarkStart w:id="299" w:name="_Toc7434"/>
      <w:bookmarkStart w:id="300" w:name="_Toc117777778"/>
      <w:bookmarkStart w:id="301" w:name="_Toc20679"/>
      <w:bookmarkStart w:id="302" w:name="_Toc2540"/>
      <w:bookmarkStart w:id="303" w:name="_Toc15784"/>
      <w:bookmarkStart w:id="304" w:name="_Toc436374551"/>
      <w:bookmarkStart w:id="305" w:name="_Toc2320"/>
      <w:r>
        <w:rPr>
          <w:rFonts w:hint="eastAsia" w:ascii="黑体" w:hAnsi="黑体" w:eastAsia="黑体" w:cs="黑体"/>
          <w:b w:val="0"/>
          <w:bCs/>
          <w:sz w:val="32"/>
          <w:szCs w:val="32"/>
        </w:rPr>
        <w:t>附件1：</w:t>
      </w:r>
      <w:bookmarkEnd w:id="299"/>
      <w:bookmarkEnd w:id="300"/>
      <w:bookmarkEnd w:id="301"/>
      <w:bookmarkEnd w:id="302"/>
      <w:bookmarkEnd w:id="303"/>
      <w:bookmarkEnd w:id="304"/>
      <w:bookmarkEnd w:id="305"/>
      <w:r>
        <w:rPr>
          <w:rFonts w:hint="eastAsia" w:ascii="黑体" w:hAnsi="黑体" w:eastAsia="黑体" w:cs="黑体"/>
          <w:b w:val="0"/>
          <w:bCs/>
          <w:sz w:val="32"/>
          <w:szCs w:val="32"/>
        </w:rPr>
        <w:t>深圳市辐射事故初始信息报告表</w:t>
      </w:r>
    </w:p>
    <w:p>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color w:val="000000"/>
          <w:kern w:val="0"/>
          <w:sz w:val="24"/>
          <w:szCs w:val="24"/>
          <w:u w:val="single"/>
        </w:rPr>
        <w:t xml:space="preserve">                     </w:t>
      </w:r>
      <w:r>
        <w:rPr>
          <w:rFonts w:ascii="Times New Roman" w:hAnsi="Times New Roman" w:eastAsia="宋体" w:cs="Times New Roman"/>
          <w:b/>
          <w:color w:val="000000"/>
          <w:kern w:val="0"/>
          <w:sz w:val="24"/>
          <w:szCs w:val="24"/>
        </w:rPr>
        <w:t>辐射事故初始报告表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051"/>
        <w:gridCol w:w="179"/>
        <w:gridCol w:w="1057"/>
        <w:gridCol w:w="119"/>
        <w:gridCol w:w="900"/>
        <w:gridCol w:w="409"/>
        <w:gridCol w:w="360"/>
        <w:gridCol w:w="996"/>
        <w:gridCol w:w="741"/>
        <w:gridCol w:w="173"/>
        <w:gridCol w:w="713"/>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 w:type="pct"/>
            <w:gridSpan w:val="2"/>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事故单位名称</w:t>
            </w:r>
          </w:p>
        </w:tc>
        <w:tc>
          <w:tcPr>
            <w:tcW w:w="4004" w:type="pct"/>
            <w:gridSpan w:val="11"/>
            <w:vAlign w:val="center"/>
          </w:tcPr>
          <w:p>
            <w:pPr>
              <w:spacing w:line="240" w:lineRule="auto"/>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 xml:space="preserve">                      </w:t>
            </w:r>
            <w:r>
              <w:rPr>
                <w:rFonts w:ascii="Times New Roman" w:hAnsi="Times New Roman" w:eastAsia="宋体" w:cs="Times New Roman"/>
                <w:color w:val="000000"/>
                <w:kern w:val="0"/>
                <w:sz w:val="21"/>
                <w:szCs w:val="21"/>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 w:type="pct"/>
            <w:gridSpan w:val="2"/>
            <w:vAlign w:val="center"/>
          </w:tcPr>
          <w:p>
            <w:pPr>
              <w:spacing w:line="240" w:lineRule="auto"/>
              <w:jc w:val="center"/>
              <w:rPr>
                <w:rFonts w:ascii="Times New Roman" w:hAnsi="Times New Roman" w:eastAsia="宋体" w:cs="Times New Roman"/>
                <w:color w:val="000000"/>
                <w:spacing w:val="-20"/>
                <w:kern w:val="0"/>
                <w:sz w:val="21"/>
                <w:szCs w:val="21"/>
              </w:rPr>
            </w:pPr>
            <w:r>
              <w:rPr>
                <w:rFonts w:ascii="Times New Roman" w:hAnsi="Times New Roman" w:eastAsia="宋体" w:cs="Times New Roman"/>
                <w:color w:val="000000"/>
                <w:spacing w:val="-20"/>
                <w:kern w:val="0"/>
                <w:sz w:val="21"/>
                <w:szCs w:val="21"/>
              </w:rPr>
              <w:t>法定代表人</w:t>
            </w:r>
          </w:p>
        </w:tc>
        <w:tc>
          <w:tcPr>
            <w:tcW w:w="795" w:type="pct"/>
            <w:gridSpan w:val="3"/>
            <w:vAlign w:val="center"/>
          </w:tcPr>
          <w:p>
            <w:pPr>
              <w:spacing w:line="240" w:lineRule="auto"/>
              <w:jc w:val="center"/>
              <w:rPr>
                <w:rFonts w:ascii="Times New Roman" w:hAnsi="Times New Roman" w:eastAsia="宋体" w:cs="Times New Roman"/>
                <w:color w:val="000000"/>
                <w:kern w:val="0"/>
                <w:sz w:val="21"/>
                <w:szCs w:val="21"/>
              </w:rPr>
            </w:pPr>
          </w:p>
        </w:tc>
        <w:tc>
          <w:tcPr>
            <w:tcW w:w="528" w:type="pct"/>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地址</w:t>
            </w:r>
          </w:p>
        </w:tc>
        <w:tc>
          <w:tcPr>
            <w:tcW w:w="1469" w:type="pct"/>
            <w:gridSpan w:val="4"/>
            <w:vAlign w:val="center"/>
          </w:tcPr>
          <w:p>
            <w:pPr>
              <w:spacing w:line="240" w:lineRule="auto"/>
              <w:jc w:val="center"/>
              <w:rPr>
                <w:rFonts w:ascii="Times New Roman" w:hAnsi="Times New Roman" w:eastAsia="宋体" w:cs="Times New Roman"/>
                <w:color w:val="000000"/>
                <w:kern w:val="0"/>
                <w:sz w:val="21"/>
                <w:szCs w:val="21"/>
              </w:rPr>
            </w:pPr>
          </w:p>
        </w:tc>
        <w:tc>
          <w:tcPr>
            <w:tcW w:w="519" w:type="pct"/>
            <w:gridSpan w:val="2"/>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邮编</w:t>
            </w:r>
          </w:p>
        </w:tc>
        <w:tc>
          <w:tcPr>
            <w:tcW w:w="692" w:type="pct"/>
            <w:vAlign w:val="center"/>
          </w:tcPr>
          <w:p>
            <w:pPr>
              <w:spacing w:line="240" w:lineRule="auto"/>
              <w:jc w:val="center"/>
              <w:rPr>
                <w:rFonts w:ascii="Times New Roman" w:hAnsi="Times New Roman"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 w:type="pct"/>
            <w:gridSpan w:val="2"/>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电话</w:t>
            </w:r>
          </w:p>
        </w:tc>
        <w:tc>
          <w:tcPr>
            <w:tcW w:w="1323" w:type="pct"/>
            <w:gridSpan w:val="4"/>
            <w:vAlign w:val="center"/>
          </w:tcPr>
          <w:p>
            <w:pPr>
              <w:spacing w:line="240" w:lineRule="auto"/>
              <w:jc w:val="center"/>
              <w:rPr>
                <w:rFonts w:ascii="Times New Roman" w:hAnsi="Times New Roman" w:eastAsia="宋体" w:cs="Times New Roman"/>
                <w:color w:val="000000"/>
                <w:kern w:val="0"/>
                <w:sz w:val="21"/>
                <w:szCs w:val="21"/>
              </w:rPr>
            </w:pPr>
          </w:p>
        </w:tc>
        <w:tc>
          <w:tcPr>
            <w:tcW w:w="451" w:type="pct"/>
            <w:gridSpan w:val="2"/>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传真</w:t>
            </w:r>
          </w:p>
        </w:tc>
        <w:tc>
          <w:tcPr>
            <w:tcW w:w="584" w:type="pct"/>
            <w:vAlign w:val="center"/>
          </w:tcPr>
          <w:p>
            <w:pPr>
              <w:spacing w:line="240" w:lineRule="auto"/>
              <w:jc w:val="center"/>
              <w:rPr>
                <w:rFonts w:ascii="Times New Roman" w:hAnsi="Times New Roman" w:eastAsia="宋体" w:cs="Times New Roman"/>
                <w:color w:val="000000"/>
                <w:kern w:val="0"/>
                <w:sz w:val="21"/>
                <w:szCs w:val="21"/>
              </w:rPr>
            </w:pPr>
          </w:p>
        </w:tc>
        <w:tc>
          <w:tcPr>
            <w:tcW w:w="434" w:type="pct"/>
            <w:vAlign w:val="center"/>
          </w:tcPr>
          <w:p>
            <w:pPr>
              <w:spacing w:line="240" w:lineRule="auto"/>
              <w:jc w:val="center"/>
              <w:rPr>
                <w:rFonts w:ascii="Times New Roman" w:hAnsi="Times New Roman" w:eastAsia="宋体" w:cs="Times New Roman"/>
                <w:color w:val="000000"/>
                <w:spacing w:val="-20"/>
                <w:kern w:val="0"/>
                <w:sz w:val="21"/>
                <w:szCs w:val="21"/>
              </w:rPr>
            </w:pPr>
            <w:r>
              <w:rPr>
                <w:rFonts w:ascii="Times New Roman" w:hAnsi="Times New Roman" w:eastAsia="宋体" w:cs="Times New Roman"/>
                <w:color w:val="000000"/>
                <w:spacing w:val="-20"/>
                <w:kern w:val="0"/>
                <w:sz w:val="21"/>
                <w:szCs w:val="21"/>
              </w:rPr>
              <w:t>联系人</w:t>
            </w:r>
          </w:p>
        </w:tc>
        <w:tc>
          <w:tcPr>
            <w:tcW w:w="1211" w:type="pct"/>
            <w:gridSpan w:val="3"/>
            <w:vAlign w:val="center"/>
          </w:tcPr>
          <w:p>
            <w:pPr>
              <w:spacing w:line="240" w:lineRule="auto"/>
              <w:jc w:val="center"/>
              <w:rPr>
                <w:rFonts w:ascii="Times New Roman" w:hAnsi="Times New Roman"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 w:type="pct"/>
            <w:gridSpan w:val="2"/>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许可证号</w:t>
            </w:r>
          </w:p>
        </w:tc>
        <w:tc>
          <w:tcPr>
            <w:tcW w:w="1323" w:type="pct"/>
            <w:gridSpan w:val="4"/>
            <w:vAlign w:val="center"/>
          </w:tcPr>
          <w:p>
            <w:pPr>
              <w:spacing w:line="240" w:lineRule="auto"/>
              <w:jc w:val="center"/>
              <w:rPr>
                <w:rFonts w:ascii="Times New Roman" w:hAnsi="Times New Roman" w:eastAsia="宋体" w:cs="Times New Roman"/>
                <w:color w:val="000000"/>
                <w:kern w:val="0"/>
                <w:sz w:val="21"/>
                <w:szCs w:val="21"/>
              </w:rPr>
            </w:pPr>
          </w:p>
        </w:tc>
        <w:tc>
          <w:tcPr>
            <w:tcW w:w="1035" w:type="pct"/>
            <w:gridSpan w:val="3"/>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许可证审批机关</w:t>
            </w:r>
          </w:p>
        </w:tc>
        <w:tc>
          <w:tcPr>
            <w:tcW w:w="1645" w:type="pct"/>
            <w:gridSpan w:val="4"/>
            <w:vAlign w:val="center"/>
          </w:tcPr>
          <w:p>
            <w:pPr>
              <w:spacing w:line="240" w:lineRule="auto"/>
              <w:jc w:val="center"/>
              <w:rPr>
                <w:rFonts w:ascii="Times New Roman" w:hAnsi="Times New Roman"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 w:type="pct"/>
            <w:gridSpan w:val="2"/>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事故发生时间</w:t>
            </w:r>
          </w:p>
        </w:tc>
        <w:tc>
          <w:tcPr>
            <w:tcW w:w="1323" w:type="pct"/>
            <w:gridSpan w:val="4"/>
            <w:vAlign w:val="center"/>
          </w:tcPr>
          <w:p>
            <w:pPr>
              <w:spacing w:line="240" w:lineRule="auto"/>
              <w:jc w:val="center"/>
              <w:rPr>
                <w:rFonts w:ascii="Times New Roman" w:hAnsi="Times New Roman" w:eastAsia="宋体" w:cs="Times New Roman"/>
                <w:color w:val="000000"/>
                <w:kern w:val="0"/>
                <w:sz w:val="21"/>
                <w:szCs w:val="21"/>
              </w:rPr>
            </w:pPr>
          </w:p>
        </w:tc>
        <w:tc>
          <w:tcPr>
            <w:tcW w:w="1035" w:type="pct"/>
            <w:gridSpan w:val="3"/>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事故发生地点</w:t>
            </w:r>
          </w:p>
        </w:tc>
        <w:tc>
          <w:tcPr>
            <w:tcW w:w="1645" w:type="pct"/>
            <w:gridSpan w:val="4"/>
            <w:vAlign w:val="center"/>
          </w:tcPr>
          <w:p>
            <w:pPr>
              <w:spacing w:line="240" w:lineRule="auto"/>
              <w:jc w:val="center"/>
              <w:rPr>
                <w:rFonts w:ascii="Times New Roman" w:hAnsi="Times New Roman"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 w:type="pct"/>
            <w:gridSpan w:val="2"/>
            <w:vMerge w:val="restart"/>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事故类型</w:t>
            </w:r>
          </w:p>
        </w:tc>
        <w:tc>
          <w:tcPr>
            <w:tcW w:w="1563" w:type="pct"/>
            <w:gridSpan w:val="5"/>
            <w:vAlign w:val="center"/>
          </w:tcPr>
          <w:p>
            <w:pPr>
              <w:spacing w:line="240" w:lineRule="auto"/>
              <w:rPr>
                <w:rFonts w:ascii="Times New Roman" w:hAnsi="Times New Roman" w:eastAsia="宋体" w:cs="Times New Roman"/>
                <w:color w:val="000000"/>
                <w:kern w:val="0"/>
                <w:sz w:val="21"/>
                <w:szCs w:val="21"/>
              </w:rPr>
            </w:pPr>
            <w:r>
              <w:rPr>
                <w:rFonts w:hint="eastAsia" w:ascii="宋体" w:hAnsi="宋体" w:eastAsia="宋体" w:cs="Times New Roman"/>
                <w:color w:val="000000"/>
                <w:kern w:val="0"/>
                <w:sz w:val="21"/>
                <w:szCs w:val="21"/>
              </w:rPr>
              <w:t>□</w:t>
            </w:r>
            <w:r>
              <w:rPr>
                <w:rFonts w:ascii="Times New Roman" w:hAnsi="Times New Roman" w:eastAsia="宋体" w:cs="Times New Roman"/>
                <w:color w:val="000000"/>
                <w:kern w:val="0"/>
                <w:sz w:val="21"/>
                <w:szCs w:val="21"/>
              </w:rPr>
              <w:t xml:space="preserve">人员受照 </w:t>
            </w:r>
            <w:r>
              <w:rPr>
                <w:rFonts w:hint="eastAsia" w:ascii="Times New Roman" w:hAnsi="Times New Roman" w:eastAsia="宋体" w:cs="Times New Roman"/>
                <w:color w:val="000000"/>
                <w:kern w:val="0"/>
                <w:sz w:val="21"/>
                <w:szCs w:val="21"/>
              </w:rPr>
              <w:t xml:space="preserve">  </w:t>
            </w:r>
            <w:r>
              <w:rPr>
                <w:rFonts w:hint="eastAsia" w:ascii="宋体" w:hAnsi="宋体" w:eastAsia="宋体" w:cs="Times New Roman"/>
                <w:color w:val="000000"/>
                <w:kern w:val="0"/>
                <w:sz w:val="21"/>
                <w:szCs w:val="21"/>
              </w:rPr>
              <w:t>□</w:t>
            </w:r>
            <w:r>
              <w:rPr>
                <w:rFonts w:ascii="Times New Roman" w:hAnsi="Times New Roman" w:eastAsia="宋体" w:cs="Times New Roman"/>
                <w:color w:val="000000"/>
                <w:kern w:val="0"/>
                <w:sz w:val="21"/>
                <w:szCs w:val="21"/>
              </w:rPr>
              <w:t>人员污染</w:t>
            </w:r>
          </w:p>
        </w:tc>
        <w:tc>
          <w:tcPr>
            <w:tcW w:w="2441" w:type="pct"/>
            <w:gridSpan w:val="6"/>
            <w:vAlign w:val="center"/>
          </w:tcPr>
          <w:p>
            <w:pPr>
              <w:spacing w:line="240" w:lineRule="auto"/>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 xml:space="preserve">受照人数：    </w:t>
            </w:r>
            <w:r>
              <w:rPr>
                <w:rFonts w:hint="eastAsia" w:ascii="Times New Roman" w:hAnsi="Times New Roman" w:eastAsia="宋体" w:cs="Times New Roman"/>
                <w:color w:val="000000"/>
                <w:kern w:val="0"/>
                <w:sz w:val="21"/>
                <w:szCs w:val="21"/>
              </w:rPr>
              <w:t xml:space="preserve">       </w:t>
            </w:r>
            <w:r>
              <w:rPr>
                <w:rFonts w:ascii="Times New Roman" w:hAnsi="Times New Roman" w:eastAsia="宋体" w:cs="Times New Roman"/>
                <w:color w:val="000000"/>
                <w:kern w:val="0"/>
                <w:sz w:val="21"/>
                <w:szCs w:val="21"/>
              </w:rPr>
              <w:t>受污染人数</w:t>
            </w:r>
            <w:r>
              <w:rPr>
                <w:rFonts w:hint="eastAsia"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 w:type="pct"/>
            <w:gridSpan w:val="2"/>
            <w:vMerge w:val="continue"/>
            <w:vAlign w:val="center"/>
          </w:tcPr>
          <w:p>
            <w:pPr>
              <w:spacing w:line="240" w:lineRule="auto"/>
              <w:jc w:val="center"/>
              <w:rPr>
                <w:rFonts w:ascii="Times New Roman" w:hAnsi="Times New Roman" w:eastAsia="宋体" w:cs="Times New Roman"/>
                <w:color w:val="000000"/>
                <w:kern w:val="0"/>
                <w:sz w:val="21"/>
                <w:szCs w:val="21"/>
              </w:rPr>
            </w:pPr>
          </w:p>
        </w:tc>
        <w:tc>
          <w:tcPr>
            <w:tcW w:w="1563" w:type="pct"/>
            <w:gridSpan w:val="5"/>
            <w:vAlign w:val="center"/>
          </w:tcPr>
          <w:p>
            <w:pPr>
              <w:spacing w:line="240" w:lineRule="auto"/>
              <w:rPr>
                <w:rFonts w:ascii="Times New Roman" w:hAnsi="Times New Roman" w:eastAsia="宋体" w:cs="Times New Roman"/>
                <w:color w:val="000000"/>
                <w:kern w:val="0"/>
                <w:sz w:val="21"/>
                <w:szCs w:val="21"/>
              </w:rPr>
            </w:pPr>
            <w:r>
              <w:rPr>
                <w:rFonts w:hint="eastAsia" w:ascii="宋体" w:hAnsi="宋体" w:eastAsia="宋体" w:cs="Times New Roman"/>
                <w:color w:val="000000"/>
                <w:kern w:val="0"/>
                <w:sz w:val="21"/>
                <w:szCs w:val="21"/>
              </w:rPr>
              <w:t>□</w:t>
            </w:r>
            <w:r>
              <w:rPr>
                <w:rFonts w:ascii="Times New Roman" w:hAnsi="Times New Roman" w:eastAsia="宋体" w:cs="Times New Roman"/>
                <w:color w:val="000000"/>
                <w:kern w:val="0"/>
                <w:sz w:val="21"/>
                <w:szCs w:val="21"/>
              </w:rPr>
              <w:t xml:space="preserve">丢失 </w:t>
            </w:r>
            <w:r>
              <w:rPr>
                <w:rFonts w:hint="eastAsia" w:ascii="Times New Roman" w:hAnsi="Times New Roman" w:eastAsia="宋体" w:cs="Times New Roman"/>
                <w:color w:val="000000"/>
                <w:kern w:val="0"/>
                <w:sz w:val="21"/>
                <w:szCs w:val="21"/>
              </w:rPr>
              <w:t xml:space="preserve"> </w:t>
            </w:r>
            <w:r>
              <w:rPr>
                <w:rFonts w:hint="eastAsia" w:ascii="宋体" w:hAnsi="宋体" w:eastAsia="宋体" w:cs="Times New Roman"/>
                <w:color w:val="000000"/>
                <w:kern w:val="0"/>
                <w:sz w:val="21"/>
                <w:szCs w:val="21"/>
              </w:rPr>
              <w:t>□</w:t>
            </w:r>
            <w:r>
              <w:rPr>
                <w:rFonts w:ascii="Times New Roman" w:hAnsi="Times New Roman" w:eastAsia="宋体" w:cs="Times New Roman"/>
                <w:color w:val="000000"/>
                <w:kern w:val="0"/>
                <w:sz w:val="21"/>
                <w:szCs w:val="21"/>
              </w:rPr>
              <w:t xml:space="preserve">被盗 </w:t>
            </w:r>
            <w:r>
              <w:rPr>
                <w:rFonts w:hint="eastAsia" w:ascii="Times New Roman" w:hAnsi="Times New Roman" w:eastAsia="宋体" w:cs="Times New Roman"/>
                <w:color w:val="000000"/>
                <w:kern w:val="0"/>
                <w:sz w:val="21"/>
                <w:szCs w:val="21"/>
              </w:rPr>
              <w:t xml:space="preserve">  </w:t>
            </w:r>
            <w:r>
              <w:rPr>
                <w:rFonts w:hint="eastAsia" w:ascii="宋体" w:hAnsi="宋体" w:eastAsia="宋体" w:cs="Times New Roman"/>
                <w:color w:val="000000"/>
                <w:kern w:val="0"/>
                <w:sz w:val="21"/>
                <w:szCs w:val="21"/>
              </w:rPr>
              <w:t>□</w:t>
            </w:r>
            <w:r>
              <w:rPr>
                <w:rFonts w:ascii="Times New Roman" w:hAnsi="Times New Roman" w:eastAsia="宋体" w:cs="Times New Roman"/>
                <w:color w:val="000000"/>
                <w:kern w:val="0"/>
                <w:sz w:val="21"/>
                <w:szCs w:val="21"/>
              </w:rPr>
              <w:t>失控</w:t>
            </w:r>
          </w:p>
        </w:tc>
        <w:tc>
          <w:tcPr>
            <w:tcW w:w="2441" w:type="pct"/>
            <w:gridSpan w:val="6"/>
            <w:vAlign w:val="center"/>
          </w:tcPr>
          <w:p>
            <w:pPr>
              <w:spacing w:line="240" w:lineRule="auto"/>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事故源数量：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 w:type="pct"/>
            <w:gridSpan w:val="2"/>
            <w:vMerge w:val="continue"/>
            <w:vAlign w:val="center"/>
          </w:tcPr>
          <w:p>
            <w:pPr>
              <w:spacing w:line="240" w:lineRule="auto"/>
              <w:jc w:val="center"/>
              <w:rPr>
                <w:rFonts w:ascii="Times New Roman" w:hAnsi="Times New Roman" w:eastAsia="宋体" w:cs="Times New Roman"/>
                <w:color w:val="000000"/>
                <w:kern w:val="0"/>
                <w:sz w:val="21"/>
                <w:szCs w:val="21"/>
              </w:rPr>
            </w:pPr>
          </w:p>
        </w:tc>
        <w:tc>
          <w:tcPr>
            <w:tcW w:w="1563" w:type="pct"/>
            <w:gridSpan w:val="5"/>
            <w:vAlign w:val="center"/>
          </w:tcPr>
          <w:p>
            <w:pPr>
              <w:spacing w:line="240" w:lineRule="auto"/>
              <w:rPr>
                <w:rFonts w:ascii="Times New Roman" w:hAnsi="Times New Roman" w:eastAsia="宋体" w:cs="Times New Roman"/>
                <w:color w:val="000000"/>
                <w:kern w:val="0"/>
                <w:sz w:val="21"/>
                <w:szCs w:val="21"/>
              </w:rPr>
            </w:pPr>
            <w:r>
              <w:rPr>
                <w:rFonts w:hint="eastAsia" w:ascii="宋体" w:hAnsi="宋体" w:eastAsia="宋体" w:cs="Times New Roman"/>
                <w:color w:val="000000"/>
                <w:kern w:val="0"/>
                <w:sz w:val="21"/>
                <w:szCs w:val="21"/>
              </w:rPr>
              <w:t>□</w:t>
            </w:r>
            <w:r>
              <w:rPr>
                <w:rFonts w:ascii="Times New Roman" w:hAnsi="Times New Roman" w:eastAsia="宋体" w:cs="Times New Roman"/>
                <w:color w:val="000000"/>
                <w:kern w:val="0"/>
                <w:sz w:val="21"/>
                <w:szCs w:val="21"/>
              </w:rPr>
              <w:t>放射性污染</w:t>
            </w:r>
          </w:p>
        </w:tc>
        <w:tc>
          <w:tcPr>
            <w:tcW w:w="2441" w:type="pct"/>
            <w:gridSpan w:val="6"/>
            <w:vAlign w:val="center"/>
          </w:tcPr>
          <w:p>
            <w:pPr>
              <w:spacing w:line="240" w:lineRule="auto"/>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污染面积（m</w:t>
            </w:r>
            <w:r>
              <w:rPr>
                <w:rFonts w:ascii="Times New Roman" w:hAnsi="Times New Roman" w:eastAsia="宋体" w:cs="Times New Roman"/>
                <w:color w:val="000000"/>
                <w:kern w:val="0"/>
                <w:sz w:val="21"/>
                <w:szCs w:val="21"/>
                <w:vertAlign w:val="superscript"/>
              </w:rPr>
              <w:t>2</w:t>
            </w:r>
            <w:r>
              <w:rPr>
                <w:rFonts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序号</w:t>
            </w:r>
          </w:p>
        </w:tc>
        <w:tc>
          <w:tcPr>
            <w:tcW w:w="722" w:type="pct"/>
            <w:gridSpan w:val="2"/>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事故源核素名称</w:t>
            </w:r>
          </w:p>
        </w:tc>
        <w:tc>
          <w:tcPr>
            <w:tcW w:w="620" w:type="pct"/>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出厂活度（Bq）</w:t>
            </w:r>
          </w:p>
        </w:tc>
        <w:tc>
          <w:tcPr>
            <w:tcW w:w="837" w:type="pct"/>
            <w:gridSpan w:val="3"/>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出厂日期</w:t>
            </w:r>
          </w:p>
        </w:tc>
        <w:tc>
          <w:tcPr>
            <w:tcW w:w="795" w:type="pct"/>
            <w:gridSpan w:val="2"/>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放射源编码</w:t>
            </w:r>
          </w:p>
        </w:tc>
        <w:tc>
          <w:tcPr>
            <w:tcW w:w="535" w:type="pct"/>
            <w:gridSpan w:val="2"/>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事故时活度（Bq）</w:t>
            </w:r>
          </w:p>
        </w:tc>
        <w:tc>
          <w:tcPr>
            <w:tcW w:w="1110" w:type="pct"/>
            <w:gridSpan w:val="2"/>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(非密封)放射性物质状态（固/液态）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spacing w:line="240" w:lineRule="auto"/>
              <w:jc w:val="center"/>
              <w:rPr>
                <w:rFonts w:ascii="Times New Roman" w:hAnsi="Times New Roman" w:eastAsia="宋体" w:cs="Times New Roman"/>
                <w:color w:val="000000"/>
                <w:kern w:val="0"/>
                <w:sz w:val="21"/>
                <w:szCs w:val="21"/>
              </w:rPr>
            </w:pPr>
          </w:p>
        </w:tc>
        <w:tc>
          <w:tcPr>
            <w:tcW w:w="722"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620" w:type="pct"/>
            <w:vAlign w:val="center"/>
          </w:tcPr>
          <w:p>
            <w:pPr>
              <w:spacing w:line="240" w:lineRule="auto"/>
              <w:jc w:val="center"/>
              <w:rPr>
                <w:rFonts w:ascii="Times New Roman" w:hAnsi="Times New Roman" w:eastAsia="宋体" w:cs="Times New Roman"/>
                <w:color w:val="000000"/>
                <w:kern w:val="0"/>
                <w:sz w:val="21"/>
                <w:szCs w:val="21"/>
              </w:rPr>
            </w:pPr>
          </w:p>
        </w:tc>
        <w:tc>
          <w:tcPr>
            <w:tcW w:w="837" w:type="pct"/>
            <w:gridSpan w:val="3"/>
            <w:vAlign w:val="center"/>
          </w:tcPr>
          <w:p>
            <w:pPr>
              <w:spacing w:line="240" w:lineRule="auto"/>
              <w:jc w:val="center"/>
              <w:rPr>
                <w:rFonts w:ascii="Times New Roman" w:hAnsi="Times New Roman" w:eastAsia="宋体" w:cs="Times New Roman"/>
                <w:color w:val="000000"/>
                <w:kern w:val="0"/>
                <w:sz w:val="21"/>
                <w:szCs w:val="21"/>
              </w:rPr>
            </w:pPr>
          </w:p>
        </w:tc>
        <w:tc>
          <w:tcPr>
            <w:tcW w:w="795"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535"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1110" w:type="pct"/>
            <w:gridSpan w:val="2"/>
            <w:vAlign w:val="center"/>
          </w:tcPr>
          <w:p>
            <w:pPr>
              <w:spacing w:line="240" w:lineRule="auto"/>
              <w:jc w:val="center"/>
              <w:rPr>
                <w:rFonts w:ascii="Times New Roman" w:hAnsi="Times New Roman"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spacing w:line="240" w:lineRule="auto"/>
              <w:jc w:val="center"/>
              <w:rPr>
                <w:rFonts w:ascii="Times New Roman" w:hAnsi="Times New Roman" w:eastAsia="宋体" w:cs="Times New Roman"/>
                <w:color w:val="000000"/>
                <w:kern w:val="0"/>
                <w:sz w:val="21"/>
                <w:szCs w:val="21"/>
              </w:rPr>
            </w:pPr>
          </w:p>
        </w:tc>
        <w:tc>
          <w:tcPr>
            <w:tcW w:w="722"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620" w:type="pct"/>
            <w:vAlign w:val="center"/>
          </w:tcPr>
          <w:p>
            <w:pPr>
              <w:spacing w:line="240" w:lineRule="auto"/>
              <w:jc w:val="center"/>
              <w:rPr>
                <w:rFonts w:ascii="Times New Roman" w:hAnsi="Times New Roman" w:eastAsia="宋体" w:cs="Times New Roman"/>
                <w:color w:val="000000"/>
                <w:kern w:val="0"/>
                <w:sz w:val="21"/>
                <w:szCs w:val="21"/>
              </w:rPr>
            </w:pPr>
          </w:p>
        </w:tc>
        <w:tc>
          <w:tcPr>
            <w:tcW w:w="837" w:type="pct"/>
            <w:gridSpan w:val="3"/>
            <w:vAlign w:val="center"/>
          </w:tcPr>
          <w:p>
            <w:pPr>
              <w:spacing w:line="240" w:lineRule="auto"/>
              <w:jc w:val="center"/>
              <w:rPr>
                <w:rFonts w:ascii="Times New Roman" w:hAnsi="Times New Roman" w:eastAsia="宋体" w:cs="Times New Roman"/>
                <w:color w:val="000000"/>
                <w:kern w:val="0"/>
                <w:sz w:val="21"/>
                <w:szCs w:val="21"/>
              </w:rPr>
            </w:pPr>
          </w:p>
        </w:tc>
        <w:tc>
          <w:tcPr>
            <w:tcW w:w="795"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535"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1110" w:type="pct"/>
            <w:gridSpan w:val="2"/>
            <w:vAlign w:val="center"/>
          </w:tcPr>
          <w:p>
            <w:pPr>
              <w:spacing w:line="240" w:lineRule="auto"/>
              <w:jc w:val="center"/>
              <w:rPr>
                <w:rFonts w:ascii="Times New Roman" w:hAnsi="Times New Roman"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spacing w:line="240" w:lineRule="auto"/>
              <w:jc w:val="center"/>
              <w:rPr>
                <w:rFonts w:ascii="Times New Roman" w:hAnsi="Times New Roman" w:eastAsia="宋体" w:cs="Times New Roman"/>
                <w:color w:val="000000"/>
                <w:kern w:val="0"/>
                <w:sz w:val="21"/>
                <w:szCs w:val="21"/>
              </w:rPr>
            </w:pPr>
          </w:p>
        </w:tc>
        <w:tc>
          <w:tcPr>
            <w:tcW w:w="722"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620" w:type="pct"/>
            <w:vAlign w:val="center"/>
          </w:tcPr>
          <w:p>
            <w:pPr>
              <w:spacing w:line="240" w:lineRule="auto"/>
              <w:jc w:val="center"/>
              <w:rPr>
                <w:rFonts w:ascii="Times New Roman" w:hAnsi="Times New Roman" w:eastAsia="宋体" w:cs="Times New Roman"/>
                <w:color w:val="000000"/>
                <w:kern w:val="0"/>
                <w:sz w:val="21"/>
                <w:szCs w:val="21"/>
              </w:rPr>
            </w:pPr>
          </w:p>
        </w:tc>
        <w:tc>
          <w:tcPr>
            <w:tcW w:w="837" w:type="pct"/>
            <w:gridSpan w:val="3"/>
            <w:vAlign w:val="center"/>
          </w:tcPr>
          <w:p>
            <w:pPr>
              <w:spacing w:line="240" w:lineRule="auto"/>
              <w:jc w:val="center"/>
              <w:rPr>
                <w:rFonts w:ascii="Times New Roman" w:hAnsi="Times New Roman" w:eastAsia="宋体" w:cs="Times New Roman"/>
                <w:color w:val="000000"/>
                <w:kern w:val="0"/>
                <w:sz w:val="21"/>
                <w:szCs w:val="21"/>
              </w:rPr>
            </w:pPr>
          </w:p>
        </w:tc>
        <w:tc>
          <w:tcPr>
            <w:tcW w:w="795"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535"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1110" w:type="pct"/>
            <w:gridSpan w:val="2"/>
            <w:vAlign w:val="center"/>
          </w:tcPr>
          <w:p>
            <w:pPr>
              <w:spacing w:line="240" w:lineRule="auto"/>
              <w:jc w:val="center"/>
              <w:rPr>
                <w:rFonts w:ascii="Times New Roman" w:hAnsi="Times New Roman"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序号</w:t>
            </w:r>
          </w:p>
        </w:tc>
        <w:tc>
          <w:tcPr>
            <w:tcW w:w="722" w:type="pct"/>
            <w:gridSpan w:val="2"/>
            <w:vAlign w:val="center"/>
          </w:tcPr>
          <w:p>
            <w:pPr>
              <w:spacing w:line="240" w:lineRule="auto"/>
              <w:jc w:val="center"/>
              <w:rPr>
                <w:rFonts w:ascii="Times New Roman" w:hAnsi="Times New Roman" w:eastAsia="宋体" w:cs="Times New Roman"/>
                <w:color w:val="000000"/>
                <w:spacing w:val="-26"/>
                <w:kern w:val="0"/>
                <w:sz w:val="21"/>
                <w:szCs w:val="21"/>
              </w:rPr>
            </w:pPr>
            <w:r>
              <w:rPr>
                <w:rFonts w:ascii="Times New Roman" w:hAnsi="Times New Roman" w:eastAsia="宋体" w:cs="Times New Roman"/>
                <w:color w:val="000000"/>
                <w:kern w:val="0"/>
                <w:sz w:val="21"/>
                <w:szCs w:val="21"/>
              </w:rPr>
              <w:t>射线装置名称</w:t>
            </w:r>
          </w:p>
        </w:tc>
        <w:tc>
          <w:tcPr>
            <w:tcW w:w="620" w:type="pct"/>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型号</w:t>
            </w:r>
          </w:p>
        </w:tc>
        <w:tc>
          <w:tcPr>
            <w:tcW w:w="837" w:type="pct"/>
            <w:gridSpan w:val="3"/>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生产厂家</w:t>
            </w:r>
          </w:p>
        </w:tc>
        <w:tc>
          <w:tcPr>
            <w:tcW w:w="795" w:type="pct"/>
            <w:gridSpan w:val="2"/>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设备编号</w:t>
            </w:r>
          </w:p>
        </w:tc>
        <w:tc>
          <w:tcPr>
            <w:tcW w:w="535" w:type="pct"/>
            <w:gridSpan w:val="2"/>
            <w:vAlign w:val="center"/>
          </w:tcPr>
          <w:p>
            <w:pPr>
              <w:spacing w:line="240" w:lineRule="auto"/>
              <w:jc w:val="center"/>
              <w:rPr>
                <w:rFonts w:ascii="Times New Roman" w:hAnsi="Times New Roman" w:eastAsia="宋体" w:cs="Times New Roman"/>
                <w:color w:val="000000"/>
                <w:spacing w:val="-20"/>
                <w:kern w:val="0"/>
                <w:sz w:val="21"/>
                <w:szCs w:val="21"/>
              </w:rPr>
            </w:pPr>
            <w:r>
              <w:rPr>
                <w:rFonts w:ascii="Times New Roman" w:hAnsi="Times New Roman" w:eastAsia="宋体" w:cs="Times New Roman"/>
                <w:color w:val="000000"/>
                <w:kern w:val="0"/>
                <w:sz w:val="21"/>
                <w:szCs w:val="21"/>
              </w:rPr>
              <w:t>所在场所</w:t>
            </w:r>
          </w:p>
        </w:tc>
        <w:tc>
          <w:tcPr>
            <w:tcW w:w="1110" w:type="pct"/>
            <w:gridSpan w:val="2"/>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spacing w:line="240" w:lineRule="auto"/>
              <w:jc w:val="center"/>
              <w:rPr>
                <w:rFonts w:ascii="Times New Roman" w:hAnsi="Times New Roman" w:eastAsia="宋体" w:cs="Times New Roman"/>
                <w:color w:val="000000"/>
                <w:kern w:val="0"/>
                <w:sz w:val="21"/>
                <w:szCs w:val="21"/>
              </w:rPr>
            </w:pPr>
          </w:p>
        </w:tc>
        <w:tc>
          <w:tcPr>
            <w:tcW w:w="722"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620" w:type="pct"/>
            <w:vAlign w:val="center"/>
          </w:tcPr>
          <w:p>
            <w:pPr>
              <w:spacing w:line="240" w:lineRule="auto"/>
              <w:jc w:val="center"/>
              <w:rPr>
                <w:rFonts w:ascii="Times New Roman" w:hAnsi="Times New Roman" w:eastAsia="宋体" w:cs="Times New Roman"/>
                <w:color w:val="000000"/>
                <w:kern w:val="0"/>
                <w:sz w:val="21"/>
                <w:szCs w:val="21"/>
              </w:rPr>
            </w:pPr>
          </w:p>
        </w:tc>
        <w:tc>
          <w:tcPr>
            <w:tcW w:w="837" w:type="pct"/>
            <w:gridSpan w:val="3"/>
            <w:vAlign w:val="center"/>
          </w:tcPr>
          <w:p>
            <w:pPr>
              <w:spacing w:line="240" w:lineRule="auto"/>
              <w:jc w:val="center"/>
              <w:rPr>
                <w:rFonts w:ascii="Times New Roman" w:hAnsi="Times New Roman" w:eastAsia="宋体" w:cs="Times New Roman"/>
                <w:color w:val="000000"/>
                <w:kern w:val="0"/>
                <w:sz w:val="21"/>
                <w:szCs w:val="21"/>
              </w:rPr>
            </w:pPr>
          </w:p>
        </w:tc>
        <w:tc>
          <w:tcPr>
            <w:tcW w:w="795"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535"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1110" w:type="pct"/>
            <w:gridSpan w:val="2"/>
            <w:vAlign w:val="center"/>
          </w:tcPr>
          <w:p>
            <w:pPr>
              <w:spacing w:line="240" w:lineRule="auto"/>
              <w:jc w:val="center"/>
              <w:rPr>
                <w:rFonts w:ascii="Times New Roman" w:hAnsi="Times New Roman"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spacing w:line="240" w:lineRule="auto"/>
              <w:jc w:val="center"/>
              <w:rPr>
                <w:rFonts w:ascii="Times New Roman" w:hAnsi="Times New Roman" w:eastAsia="宋体" w:cs="Times New Roman"/>
                <w:color w:val="000000"/>
                <w:kern w:val="0"/>
                <w:sz w:val="21"/>
                <w:szCs w:val="21"/>
              </w:rPr>
            </w:pPr>
          </w:p>
        </w:tc>
        <w:tc>
          <w:tcPr>
            <w:tcW w:w="722"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620" w:type="pct"/>
            <w:vAlign w:val="center"/>
          </w:tcPr>
          <w:p>
            <w:pPr>
              <w:spacing w:line="240" w:lineRule="auto"/>
              <w:jc w:val="center"/>
              <w:rPr>
                <w:rFonts w:ascii="Times New Roman" w:hAnsi="Times New Roman" w:eastAsia="宋体" w:cs="Times New Roman"/>
                <w:color w:val="000000"/>
                <w:kern w:val="0"/>
                <w:sz w:val="21"/>
                <w:szCs w:val="21"/>
              </w:rPr>
            </w:pPr>
          </w:p>
        </w:tc>
        <w:tc>
          <w:tcPr>
            <w:tcW w:w="837" w:type="pct"/>
            <w:gridSpan w:val="3"/>
            <w:vAlign w:val="center"/>
          </w:tcPr>
          <w:p>
            <w:pPr>
              <w:spacing w:line="240" w:lineRule="auto"/>
              <w:jc w:val="center"/>
              <w:rPr>
                <w:rFonts w:ascii="Times New Roman" w:hAnsi="Times New Roman" w:eastAsia="宋体" w:cs="Times New Roman"/>
                <w:color w:val="000000"/>
                <w:kern w:val="0"/>
                <w:sz w:val="21"/>
                <w:szCs w:val="21"/>
              </w:rPr>
            </w:pPr>
          </w:p>
        </w:tc>
        <w:tc>
          <w:tcPr>
            <w:tcW w:w="795"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535"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1110" w:type="pct"/>
            <w:gridSpan w:val="2"/>
            <w:vAlign w:val="center"/>
          </w:tcPr>
          <w:p>
            <w:pPr>
              <w:spacing w:line="240" w:lineRule="auto"/>
              <w:jc w:val="center"/>
              <w:rPr>
                <w:rFonts w:ascii="Times New Roman" w:hAnsi="Times New Roman"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spacing w:line="240" w:lineRule="auto"/>
              <w:jc w:val="center"/>
              <w:rPr>
                <w:rFonts w:ascii="Times New Roman" w:hAnsi="Times New Roman" w:eastAsia="宋体" w:cs="Times New Roman"/>
                <w:color w:val="000000"/>
                <w:kern w:val="0"/>
                <w:sz w:val="21"/>
                <w:szCs w:val="21"/>
              </w:rPr>
            </w:pPr>
          </w:p>
        </w:tc>
        <w:tc>
          <w:tcPr>
            <w:tcW w:w="722"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620" w:type="pct"/>
            <w:vAlign w:val="center"/>
          </w:tcPr>
          <w:p>
            <w:pPr>
              <w:spacing w:line="240" w:lineRule="auto"/>
              <w:jc w:val="center"/>
              <w:rPr>
                <w:rFonts w:ascii="Times New Roman" w:hAnsi="Times New Roman" w:eastAsia="宋体" w:cs="Times New Roman"/>
                <w:color w:val="000000"/>
                <w:kern w:val="0"/>
                <w:sz w:val="21"/>
                <w:szCs w:val="21"/>
              </w:rPr>
            </w:pPr>
          </w:p>
        </w:tc>
        <w:tc>
          <w:tcPr>
            <w:tcW w:w="837" w:type="pct"/>
            <w:gridSpan w:val="3"/>
            <w:vAlign w:val="center"/>
          </w:tcPr>
          <w:p>
            <w:pPr>
              <w:spacing w:line="240" w:lineRule="auto"/>
              <w:jc w:val="center"/>
              <w:rPr>
                <w:rFonts w:ascii="Times New Roman" w:hAnsi="Times New Roman" w:eastAsia="宋体" w:cs="Times New Roman"/>
                <w:color w:val="000000"/>
                <w:kern w:val="0"/>
                <w:sz w:val="21"/>
                <w:szCs w:val="21"/>
              </w:rPr>
            </w:pPr>
          </w:p>
        </w:tc>
        <w:tc>
          <w:tcPr>
            <w:tcW w:w="795"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535" w:type="pct"/>
            <w:gridSpan w:val="2"/>
            <w:vAlign w:val="center"/>
          </w:tcPr>
          <w:p>
            <w:pPr>
              <w:spacing w:line="240" w:lineRule="auto"/>
              <w:jc w:val="center"/>
              <w:rPr>
                <w:rFonts w:ascii="Times New Roman" w:hAnsi="Times New Roman" w:eastAsia="宋体" w:cs="Times New Roman"/>
                <w:color w:val="000000"/>
                <w:kern w:val="0"/>
                <w:sz w:val="21"/>
                <w:szCs w:val="21"/>
              </w:rPr>
            </w:pPr>
          </w:p>
        </w:tc>
        <w:tc>
          <w:tcPr>
            <w:tcW w:w="1110" w:type="pct"/>
            <w:gridSpan w:val="2"/>
            <w:vAlign w:val="center"/>
          </w:tcPr>
          <w:p>
            <w:pPr>
              <w:spacing w:line="240" w:lineRule="auto"/>
              <w:jc w:val="center"/>
              <w:rPr>
                <w:rFonts w:ascii="Times New Roman" w:hAnsi="Times New Roman"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00" w:type="pct"/>
            <w:gridSpan w:val="3"/>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事故经过</w:t>
            </w:r>
          </w:p>
        </w:tc>
        <w:tc>
          <w:tcPr>
            <w:tcW w:w="3899" w:type="pct"/>
            <w:gridSpan w:val="10"/>
            <w:vAlign w:val="center"/>
          </w:tcPr>
          <w:p>
            <w:pPr>
              <w:spacing w:line="240" w:lineRule="auto"/>
              <w:rPr>
                <w:rFonts w:ascii="Times New Roman" w:hAnsi="Times New Roman" w:eastAsia="宋体" w:cs="Times New Roman"/>
                <w:color w:val="000000"/>
                <w:kern w:val="0"/>
                <w:sz w:val="21"/>
                <w:szCs w:val="21"/>
              </w:rPr>
            </w:pPr>
          </w:p>
          <w:p>
            <w:pPr>
              <w:spacing w:line="240" w:lineRule="auto"/>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pct"/>
            <w:gridSpan w:val="3"/>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报告人签字</w:t>
            </w:r>
          </w:p>
        </w:tc>
        <w:tc>
          <w:tcPr>
            <w:tcW w:w="620" w:type="pct"/>
            <w:vAlign w:val="center"/>
          </w:tcPr>
          <w:p>
            <w:pPr>
              <w:spacing w:line="240" w:lineRule="auto"/>
              <w:jc w:val="center"/>
              <w:rPr>
                <w:rFonts w:ascii="Times New Roman" w:hAnsi="Times New Roman" w:eastAsia="宋体" w:cs="Times New Roman"/>
                <w:color w:val="000000"/>
                <w:kern w:val="0"/>
                <w:sz w:val="21"/>
                <w:szCs w:val="21"/>
              </w:rPr>
            </w:pPr>
          </w:p>
        </w:tc>
        <w:tc>
          <w:tcPr>
            <w:tcW w:w="837" w:type="pct"/>
            <w:gridSpan w:val="3"/>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报告时间</w:t>
            </w:r>
          </w:p>
        </w:tc>
        <w:tc>
          <w:tcPr>
            <w:tcW w:w="2441" w:type="pct"/>
            <w:gridSpan w:val="6"/>
            <w:vAlign w:val="center"/>
          </w:tcPr>
          <w:p>
            <w:pPr>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 xml:space="preserve">年   月   日   时  </w:t>
            </w:r>
            <w:r>
              <w:rPr>
                <w:rFonts w:hint="eastAsia" w:ascii="Times New Roman" w:hAnsi="Times New Roman" w:eastAsia="宋体" w:cs="Times New Roman"/>
                <w:color w:val="000000"/>
                <w:kern w:val="0"/>
                <w:sz w:val="21"/>
                <w:szCs w:val="21"/>
              </w:rPr>
              <w:t xml:space="preserve"> </w:t>
            </w:r>
            <w:r>
              <w:rPr>
                <w:rFonts w:ascii="Times New Roman" w:hAnsi="Times New Roman" w:eastAsia="宋体" w:cs="Times New Roman"/>
                <w:color w:val="000000"/>
                <w:kern w:val="0"/>
                <w:sz w:val="21"/>
                <w:szCs w:val="21"/>
              </w:rPr>
              <w:t>分</w:t>
            </w:r>
          </w:p>
        </w:tc>
      </w:tr>
    </w:tbl>
    <w:p>
      <w:pPr>
        <w:spacing w:line="240" w:lineRule="auto"/>
        <w:ind w:left="420" w:hanging="420" w:hangingChars="20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注：射线装置的“主要参数”是指X射线机的电流（mA）和电压（kV）、加速器线速能量等主要性能参数。</w:t>
      </w:r>
    </w:p>
    <w:p>
      <w:pP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br w:type="page"/>
      </w:r>
    </w:p>
    <w:p>
      <w:pPr>
        <w:spacing w:before="156" w:beforeLines="50" w:after="156" w:afterLines="50" w:line="360" w:lineRule="auto"/>
        <w:outlineLvl w:val="1"/>
        <w:rPr>
          <w:rFonts w:hint="eastAsia" w:ascii="黑体" w:hAnsi="黑体" w:eastAsia="黑体" w:cs="黑体"/>
          <w:b w:val="0"/>
          <w:bCs/>
          <w:sz w:val="32"/>
          <w:szCs w:val="32"/>
        </w:rPr>
      </w:pPr>
      <w:bookmarkStart w:id="306" w:name="_Toc1414654882"/>
      <w:bookmarkStart w:id="307" w:name="_Toc7678"/>
      <w:bookmarkStart w:id="308" w:name="_Toc14867"/>
      <w:bookmarkStart w:id="309" w:name="_Toc14442"/>
      <w:bookmarkStart w:id="310" w:name="_Toc19552"/>
      <w:bookmarkStart w:id="311" w:name="_Toc12587"/>
      <w:bookmarkStart w:id="312" w:name="_Toc117777779"/>
      <w:r>
        <w:rPr>
          <w:rFonts w:hint="eastAsia" w:ascii="黑体" w:hAnsi="黑体" w:eastAsia="黑体" w:cs="黑体"/>
          <w:b w:val="0"/>
          <w:bCs/>
          <w:sz w:val="32"/>
          <w:szCs w:val="32"/>
        </w:rPr>
        <w:t>附件2：</w:t>
      </w:r>
      <w:bookmarkEnd w:id="306"/>
      <w:bookmarkEnd w:id="307"/>
      <w:bookmarkEnd w:id="308"/>
      <w:bookmarkEnd w:id="309"/>
      <w:bookmarkEnd w:id="310"/>
      <w:bookmarkEnd w:id="311"/>
      <w:bookmarkEnd w:id="312"/>
      <w:r>
        <w:rPr>
          <w:rFonts w:hint="eastAsia" w:ascii="黑体" w:hAnsi="黑体" w:eastAsia="黑体" w:cs="黑体"/>
          <w:b w:val="0"/>
          <w:bCs/>
          <w:sz w:val="32"/>
          <w:szCs w:val="32"/>
        </w:rPr>
        <w:t>深圳市辐射事故后续信息报告表</w:t>
      </w:r>
    </w:p>
    <w:p>
      <w:pPr>
        <w:jc w:val="center"/>
        <w:rPr>
          <w:rFonts w:ascii="Times New Roman" w:hAnsi="Times New Roman" w:eastAsia="宋体" w:cs="Times New Roman"/>
          <w:b/>
          <w:color w:val="000000"/>
          <w:kern w:val="0"/>
          <w:sz w:val="24"/>
          <w:szCs w:val="24"/>
          <w:u w:val="single"/>
        </w:rPr>
      </w:pPr>
      <w:r>
        <w:rPr>
          <w:rFonts w:hint="eastAsia" w:ascii="Times New Roman" w:hAnsi="Times New Roman" w:eastAsia="宋体" w:cs="Times New Roman"/>
          <w:b/>
          <w:color w:val="000000"/>
          <w:kern w:val="0"/>
          <w:sz w:val="24"/>
          <w:szCs w:val="24"/>
          <w:u w:val="single"/>
        </w:rPr>
        <w:t xml:space="preserve">                     </w:t>
      </w:r>
      <w:r>
        <w:rPr>
          <w:rFonts w:ascii="Times New Roman" w:hAnsi="Times New Roman" w:eastAsia="宋体" w:cs="Times New Roman"/>
          <w:b/>
          <w:color w:val="000000"/>
          <w:kern w:val="0"/>
          <w:sz w:val="24"/>
          <w:szCs w:val="24"/>
        </w:rPr>
        <w:t>辐射事故后续报告表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980"/>
        <w:gridCol w:w="198"/>
        <w:gridCol w:w="1011"/>
        <w:gridCol w:w="788"/>
        <w:gridCol w:w="1060"/>
        <w:gridCol w:w="1016"/>
        <w:gridCol w:w="513"/>
        <w:gridCol w:w="648"/>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pct"/>
            <w:gridSpan w:val="2"/>
            <w:vMerge w:val="restart"/>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事故单位</w:t>
            </w:r>
          </w:p>
        </w:tc>
        <w:tc>
          <w:tcPr>
            <w:tcW w:w="1793" w:type="pct"/>
            <w:gridSpan w:val="4"/>
            <w:vAlign w:val="center"/>
          </w:tcPr>
          <w:p>
            <w:pPr>
              <w:rPr>
                <w:rFonts w:hint="eastAsia" w:ascii="Times New Roman" w:hAnsi="Times New Roman" w:eastAsia="宋体" w:cs="Times New Roman"/>
                <w:color w:val="000000"/>
                <w:kern w:val="0"/>
                <w:sz w:val="21"/>
                <w:szCs w:val="21"/>
                <w:lang w:eastAsia="zh-CN"/>
              </w:rPr>
            </w:pPr>
            <w:r>
              <w:rPr>
                <w:rFonts w:ascii="Times New Roman" w:hAnsi="Times New Roman" w:eastAsia="宋体" w:cs="Times New Roman"/>
                <w:color w:val="000000"/>
                <w:kern w:val="0"/>
                <w:sz w:val="21"/>
                <w:szCs w:val="21"/>
              </w:rPr>
              <w:t>名称</w:t>
            </w:r>
            <w:r>
              <w:rPr>
                <w:rFonts w:hint="eastAsia" w:ascii="Times New Roman" w:hAnsi="Times New Roman" w:eastAsia="宋体" w:cs="Times New Roman"/>
                <w:color w:val="000000"/>
                <w:kern w:val="0"/>
                <w:sz w:val="21"/>
                <w:szCs w:val="21"/>
                <w:lang w:eastAsia="zh-CN"/>
              </w:rPr>
              <w:t>：</w:t>
            </w:r>
          </w:p>
        </w:tc>
        <w:tc>
          <w:tcPr>
            <w:tcW w:w="2252" w:type="pct"/>
            <w:gridSpan w:val="4"/>
            <w:vAlign w:val="center"/>
          </w:tcPr>
          <w:p>
            <w:pPr>
              <w:rPr>
                <w:rFonts w:hint="eastAsia" w:ascii="Times New Roman" w:hAnsi="Times New Roman" w:eastAsia="宋体" w:cs="Times New Roman"/>
                <w:color w:val="000000"/>
                <w:kern w:val="0"/>
                <w:sz w:val="21"/>
                <w:szCs w:val="21"/>
                <w:lang w:eastAsia="zh-CN"/>
              </w:rPr>
            </w:pPr>
            <w:r>
              <w:rPr>
                <w:rFonts w:ascii="Times New Roman" w:hAnsi="Times New Roman" w:eastAsia="宋体" w:cs="Times New Roman"/>
                <w:color w:val="000000"/>
                <w:kern w:val="0"/>
                <w:sz w:val="21"/>
                <w:szCs w:val="21"/>
              </w:rPr>
              <w:t>地址</w:t>
            </w:r>
            <w:r>
              <w:rPr>
                <w:rFonts w:hint="eastAsia" w:ascii="Times New Roman" w:hAnsi="Times New Roman" w:eastAsia="宋体" w:cs="Times New Roman"/>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pct"/>
            <w:gridSpan w:val="2"/>
            <w:vMerge w:val="continue"/>
            <w:vAlign w:val="center"/>
          </w:tcPr>
          <w:p>
            <w:pPr>
              <w:jc w:val="center"/>
              <w:rPr>
                <w:rFonts w:ascii="Times New Roman" w:hAnsi="Times New Roman" w:eastAsia="宋体" w:cs="Times New Roman"/>
                <w:color w:val="000000"/>
                <w:kern w:val="0"/>
                <w:sz w:val="21"/>
                <w:szCs w:val="21"/>
              </w:rPr>
            </w:pPr>
          </w:p>
        </w:tc>
        <w:tc>
          <w:tcPr>
            <w:tcW w:w="1793" w:type="pct"/>
            <w:gridSpan w:val="4"/>
            <w:vAlign w:val="center"/>
          </w:tcPr>
          <w:p>
            <w:pPr>
              <w:rPr>
                <w:rFonts w:hint="eastAsia" w:ascii="Times New Roman" w:hAnsi="Times New Roman" w:eastAsia="宋体" w:cs="Times New Roman"/>
                <w:color w:val="000000"/>
                <w:kern w:val="0"/>
                <w:sz w:val="21"/>
                <w:szCs w:val="21"/>
                <w:lang w:eastAsia="zh-CN"/>
              </w:rPr>
            </w:pPr>
            <w:r>
              <w:rPr>
                <w:rFonts w:ascii="Times New Roman" w:hAnsi="Times New Roman" w:eastAsia="宋体" w:cs="Times New Roman"/>
                <w:color w:val="000000"/>
                <w:kern w:val="0"/>
                <w:sz w:val="21"/>
                <w:szCs w:val="21"/>
              </w:rPr>
              <w:t>许可证号</w:t>
            </w:r>
            <w:r>
              <w:rPr>
                <w:rFonts w:hint="eastAsia" w:ascii="Times New Roman" w:hAnsi="Times New Roman" w:eastAsia="宋体" w:cs="Times New Roman"/>
                <w:color w:val="000000"/>
                <w:kern w:val="0"/>
                <w:sz w:val="21"/>
                <w:szCs w:val="21"/>
                <w:lang w:eastAsia="zh-CN"/>
              </w:rPr>
              <w:t>：</w:t>
            </w:r>
          </w:p>
        </w:tc>
        <w:tc>
          <w:tcPr>
            <w:tcW w:w="2252" w:type="pct"/>
            <w:gridSpan w:val="4"/>
            <w:vAlign w:val="center"/>
          </w:tcPr>
          <w:p>
            <w:pPr>
              <w:rPr>
                <w:rFonts w:hint="eastAsia" w:ascii="Times New Roman" w:hAnsi="Times New Roman" w:eastAsia="宋体" w:cs="Times New Roman"/>
                <w:color w:val="000000"/>
                <w:kern w:val="0"/>
                <w:sz w:val="21"/>
                <w:szCs w:val="21"/>
                <w:lang w:eastAsia="zh-CN"/>
              </w:rPr>
            </w:pPr>
            <w:r>
              <w:rPr>
                <w:rFonts w:ascii="Times New Roman" w:hAnsi="Times New Roman" w:eastAsia="宋体" w:cs="Times New Roman"/>
                <w:color w:val="000000"/>
                <w:kern w:val="0"/>
                <w:sz w:val="21"/>
                <w:szCs w:val="21"/>
              </w:rPr>
              <w:t>许可证审批机关</w:t>
            </w:r>
            <w:r>
              <w:rPr>
                <w:rFonts w:hint="eastAsia" w:ascii="Times New Roman" w:hAnsi="Times New Roman" w:eastAsia="宋体" w:cs="Times New Roman"/>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pct"/>
            <w:gridSpan w:val="2"/>
            <w:vAlign w:val="center"/>
          </w:tcPr>
          <w:p>
            <w:pPr>
              <w:jc w:val="center"/>
              <w:rPr>
                <w:rFonts w:ascii="Times New Roman" w:hAnsi="Times New Roman" w:eastAsia="宋体" w:cs="Times New Roman"/>
                <w:color w:val="000000"/>
                <w:spacing w:val="-20"/>
                <w:kern w:val="0"/>
                <w:sz w:val="21"/>
                <w:szCs w:val="21"/>
              </w:rPr>
            </w:pPr>
            <w:r>
              <w:rPr>
                <w:rFonts w:ascii="Times New Roman" w:hAnsi="Times New Roman" w:eastAsia="宋体" w:cs="Times New Roman"/>
                <w:color w:val="000000"/>
                <w:spacing w:val="-20"/>
                <w:kern w:val="0"/>
                <w:sz w:val="21"/>
                <w:szCs w:val="21"/>
              </w:rPr>
              <w:t>事故发生时间</w:t>
            </w:r>
          </w:p>
        </w:tc>
        <w:tc>
          <w:tcPr>
            <w:tcW w:w="1793" w:type="pct"/>
            <w:gridSpan w:val="4"/>
            <w:vAlign w:val="center"/>
          </w:tcPr>
          <w:p>
            <w:pPr>
              <w:jc w:val="center"/>
              <w:rPr>
                <w:rFonts w:ascii="Times New Roman" w:hAnsi="Times New Roman" w:eastAsia="宋体" w:cs="Times New Roman"/>
                <w:color w:val="000000"/>
                <w:kern w:val="0"/>
                <w:sz w:val="21"/>
                <w:szCs w:val="21"/>
              </w:rPr>
            </w:pPr>
          </w:p>
        </w:tc>
        <w:tc>
          <w:tcPr>
            <w:tcW w:w="897" w:type="pct"/>
            <w:gridSpan w:val="2"/>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事故报告时间</w:t>
            </w:r>
          </w:p>
        </w:tc>
        <w:tc>
          <w:tcPr>
            <w:tcW w:w="1355" w:type="pct"/>
            <w:gridSpan w:val="2"/>
            <w:vAlign w:val="center"/>
          </w:tcPr>
          <w:p>
            <w:pPr>
              <w:jc w:val="center"/>
              <w:rPr>
                <w:rFonts w:ascii="Times New Roman" w:hAnsi="Times New Roman"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pct"/>
            <w:gridSpan w:val="2"/>
            <w:vAlign w:val="center"/>
          </w:tcPr>
          <w:p>
            <w:pPr>
              <w:jc w:val="center"/>
              <w:rPr>
                <w:rFonts w:ascii="Times New Roman" w:hAnsi="Times New Roman" w:eastAsia="宋体" w:cs="Times New Roman"/>
                <w:color w:val="000000"/>
                <w:spacing w:val="-20"/>
                <w:kern w:val="0"/>
                <w:sz w:val="21"/>
                <w:szCs w:val="21"/>
              </w:rPr>
            </w:pPr>
            <w:r>
              <w:rPr>
                <w:rFonts w:ascii="Times New Roman" w:hAnsi="Times New Roman" w:eastAsia="宋体" w:cs="Times New Roman"/>
                <w:color w:val="000000"/>
                <w:spacing w:val="-20"/>
                <w:kern w:val="0"/>
                <w:sz w:val="21"/>
                <w:szCs w:val="21"/>
              </w:rPr>
              <w:t>事故发生地点</w:t>
            </w:r>
          </w:p>
        </w:tc>
        <w:tc>
          <w:tcPr>
            <w:tcW w:w="4045" w:type="pct"/>
            <w:gridSpan w:val="8"/>
            <w:vAlign w:val="center"/>
          </w:tcPr>
          <w:p>
            <w:pPr>
              <w:jc w:val="center"/>
              <w:rPr>
                <w:rFonts w:ascii="Times New Roman" w:hAnsi="Times New Roman"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pct"/>
            <w:gridSpan w:val="2"/>
            <w:vMerge w:val="restart"/>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事故类型</w:t>
            </w:r>
          </w:p>
        </w:tc>
        <w:tc>
          <w:tcPr>
            <w:tcW w:w="1793" w:type="pct"/>
            <w:gridSpan w:val="4"/>
            <w:vAlign w:val="center"/>
          </w:tcPr>
          <w:p>
            <w:pPr>
              <w:rPr>
                <w:rFonts w:ascii="Times New Roman" w:hAnsi="Times New Roman" w:eastAsia="宋体" w:cs="Times New Roman"/>
                <w:color w:val="000000"/>
                <w:kern w:val="0"/>
                <w:sz w:val="21"/>
                <w:szCs w:val="21"/>
              </w:rPr>
            </w:pPr>
            <w:r>
              <w:rPr>
                <w:rFonts w:hint="eastAsia" w:ascii="宋体" w:hAnsi="宋体" w:eastAsia="宋体" w:cs="Times New Roman"/>
                <w:color w:val="000000"/>
                <w:kern w:val="0"/>
                <w:sz w:val="21"/>
                <w:szCs w:val="21"/>
              </w:rPr>
              <w:t>□</w:t>
            </w:r>
            <w:r>
              <w:rPr>
                <w:rFonts w:ascii="Times New Roman" w:hAnsi="Times New Roman" w:eastAsia="宋体" w:cs="Times New Roman"/>
                <w:color w:val="000000"/>
                <w:kern w:val="0"/>
                <w:sz w:val="21"/>
                <w:szCs w:val="21"/>
              </w:rPr>
              <w:t xml:space="preserve">人员受照 </w:t>
            </w:r>
            <w:r>
              <w:rPr>
                <w:rFonts w:hint="eastAsia" w:ascii="Times New Roman" w:hAnsi="Times New Roman" w:eastAsia="宋体" w:cs="Times New Roman"/>
                <w:color w:val="000000"/>
                <w:kern w:val="0"/>
                <w:sz w:val="21"/>
                <w:szCs w:val="21"/>
              </w:rPr>
              <w:t xml:space="preserve">     </w:t>
            </w:r>
            <w:r>
              <w:rPr>
                <w:rFonts w:hint="eastAsia" w:ascii="宋体" w:hAnsi="宋体" w:eastAsia="宋体" w:cs="Times New Roman"/>
                <w:color w:val="000000"/>
                <w:kern w:val="0"/>
                <w:sz w:val="21"/>
                <w:szCs w:val="21"/>
              </w:rPr>
              <w:t>□</w:t>
            </w:r>
            <w:r>
              <w:rPr>
                <w:rFonts w:ascii="Times New Roman" w:hAnsi="Times New Roman" w:eastAsia="宋体" w:cs="Times New Roman"/>
                <w:color w:val="000000"/>
                <w:kern w:val="0"/>
                <w:sz w:val="21"/>
                <w:szCs w:val="21"/>
              </w:rPr>
              <w:t>人员污染</w:t>
            </w:r>
          </w:p>
        </w:tc>
        <w:tc>
          <w:tcPr>
            <w:tcW w:w="2252" w:type="pct"/>
            <w:gridSpan w:val="4"/>
            <w:vAlign w:val="center"/>
          </w:tcPr>
          <w:p>
            <w:pP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受照人数：</w:t>
            </w:r>
            <w:r>
              <w:rPr>
                <w:rFonts w:hint="eastAsia" w:ascii="Times New Roman" w:hAnsi="Times New Roman" w:eastAsia="宋体" w:cs="Times New Roman"/>
                <w:color w:val="000000"/>
                <w:kern w:val="0"/>
                <w:sz w:val="21"/>
                <w:szCs w:val="21"/>
              </w:rPr>
              <w:t xml:space="preserve">       </w:t>
            </w:r>
            <w:r>
              <w:rPr>
                <w:rFonts w:ascii="Times New Roman" w:hAnsi="Times New Roman" w:eastAsia="宋体" w:cs="Times New Roman"/>
                <w:color w:val="000000"/>
                <w:kern w:val="0"/>
                <w:sz w:val="21"/>
                <w:szCs w:val="21"/>
              </w:rPr>
              <w:t>受污染人数：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pct"/>
            <w:gridSpan w:val="2"/>
            <w:vMerge w:val="continue"/>
            <w:vAlign w:val="center"/>
          </w:tcPr>
          <w:p>
            <w:pPr>
              <w:jc w:val="center"/>
              <w:rPr>
                <w:rFonts w:ascii="Times New Roman" w:hAnsi="Times New Roman" w:eastAsia="宋体" w:cs="Times New Roman"/>
                <w:color w:val="000000"/>
                <w:kern w:val="0"/>
                <w:sz w:val="21"/>
                <w:szCs w:val="21"/>
              </w:rPr>
            </w:pPr>
          </w:p>
        </w:tc>
        <w:tc>
          <w:tcPr>
            <w:tcW w:w="1793" w:type="pct"/>
            <w:gridSpan w:val="4"/>
            <w:vAlign w:val="center"/>
          </w:tcPr>
          <w:p>
            <w:pPr>
              <w:rPr>
                <w:rFonts w:ascii="Times New Roman" w:hAnsi="Times New Roman" w:eastAsia="宋体" w:cs="Times New Roman"/>
                <w:color w:val="000000"/>
                <w:kern w:val="0"/>
                <w:sz w:val="21"/>
                <w:szCs w:val="21"/>
              </w:rPr>
            </w:pPr>
            <w:r>
              <w:rPr>
                <w:rFonts w:hint="eastAsia" w:ascii="宋体" w:hAnsi="宋体" w:eastAsia="宋体" w:cs="Times New Roman"/>
                <w:color w:val="000000"/>
                <w:kern w:val="0"/>
                <w:sz w:val="21"/>
                <w:szCs w:val="21"/>
              </w:rPr>
              <w:t>□</w:t>
            </w:r>
            <w:r>
              <w:rPr>
                <w:rFonts w:ascii="Times New Roman" w:hAnsi="Times New Roman" w:eastAsia="宋体" w:cs="Times New Roman"/>
                <w:color w:val="000000"/>
                <w:kern w:val="0"/>
                <w:sz w:val="21"/>
                <w:szCs w:val="21"/>
              </w:rPr>
              <w:t xml:space="preserve">丢失 </w:t>
            </w:r>
            <w:r>
              <w:rPr>
                <w:rFonts w:hint="eastAsia" w:ascii="Times New Roman" w:hAnsi="Times New Roman" w:eastAsia="宋体" w:cs="Times New Roman"/>
                <w:color w:val="000000"/>
                <w:kern w:val="0"/>
                <w:sz w:val="21"/>
                <w:szCs w:val="21"/>
              </w:rPr>
              <w:t xml:space="preserve">   </w:t>
            </w:r>
            <w:r>
              <w:rPr>
                <w:rFonts w:hint="eastAsia" w:ascii="宋体" w:hAnsi="宋体" w:eastAsia="宋体" w:cs="Times New Roman"/>
                <w:color w:val="000000"/>
                <w:kern w:val="0"/>
                <w:sz w:val="21"/>
                <w:szCs w:val="21"/>
              </w:rPr>
              <w:t>□</w:t>
            </w:r>
            <w:r>
              <w:rPr>
                <w:rFonts w:ascii="Times New Roman" w:hAnsi="Times New Roman" w:eastAsia="宋体" w:cs="Times New Roman"/>
                <w:color w:val="000000"/>
                <w:kern w:val="0"/>
                <w:sz w:val="21"/>
                <w:szCs w:val="21"/>
              </w:rPr>
              <w:t>被盗</w:t>
            </w:r>
            <w:r>
              <w:rPr>
                <w:rFonts w:hint="eastAsia" w:ascii="Times New Roman" w:hAnsi="Times New Roman" w:eastAsia="宋体" w:cs="Times New Roman"/>
                <w:color w:val="000000"/>
                <w:kern w:val="0"/>
                <w:sz w:val="21"/>
                <w:szCs w:val="21"/>
              </w:rPr>
              <w:t xml:space="preserve">    </w:t>
            </w:r>
            <w:r>
              <w:rPr>
                <w:rFonts w:hint="eastAsia" w:ascii="宋体" w:hAnsi="宋体" w:eastAsia="宋体" w:cs="Times New Roman"/>
                <w:color w:val="000000"/>
                <w:kern w:val="0"/>
                <w:sz w:val="21"/>
                <w:szCs w:val="21"/>
              </w:rPr>
              <w:t>□</w:t>
            </w:r>
            <w:r>
              <w:rPr>
                <w:rFonts w:ascii="Times New Roman" w:hAnsi="Times New Roman" w:eastAsia="宋体" w:cs="Times New Roman"/>
                <w:color w:val="000000"/>
                <w:kern w:val="0"/>
                <w:sz w:val="21"/>
                <w:szCs w:val="21"/>
              </w:rPr>
              <w:t>失控</w:t>
            </w:r>
          </w:p>
        </w:tc>
        <w:tc>
          <w:tcPr>
            <w:tcW w:w="2252" w:type="pct"/>
            <w:gridSpan w:val="4"/>
            <w:vAlign w:val="center"/>
          </w:tcPr>
          <w:p>
            <w:pP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事故源数量：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pct"/>
            <w:gridSpan w:val="2"/>
            <w:vMerge w:val="continue"/>
            <w:vAlign w:val="center"/>
          </w:tcPr>
          <w:p>
            <w:pPr>
              <w:jc w:val="center"/>
              <w:rPr>
                <w:rFonts w:ascii="Times New Roman" w:hAnsi="Times New Roman" w:eastAsia="宋体" w:cs="Times New Roman"/>
                <w:color w:val="000000"/>
                <w:kern w:val="0"/>
                <w:sz w:val="21"/>
                <w:szCs w:val="21"/>
              </w:rPr>
            </w:pPr>
          </w:p>
        </w:tc>
        <w:tc>
          <w:tcPr>
            <w:tcW w:w="1793" w:type="pct"/>
            <w:gridSpan w:val="4"/>
            <w:vAlign w:val="center"/>
          </w:tcPr>
          <w:p>
            <w:pPr>
              <w:rPr>
                <w:rFonts w:ascii="Times New Roman" w:hAnsi="Times New Roman" w:eastAsia="宋体" w:cs="Times New Roman"/>
                <w:color w:val="000000"/>
                <w:kern w:val="0"/>
                <w:sz w:val="21"/>
                <w:szCs w:val="21"/>
              </w:rPr>
            </w:pPr>
            <w:r>
              <w:rPr>
                <w:rFonts w:hint="eastAsia" w:ascii="宋体" w:hAnsi="宋体" w:eastAsia="宋体" w:cs="Times New Roman"/>
                <w:color w:val="000000"/>
                <w:kern w:val="0"/>
                <w:sz w:val="21"/>
                <w:szCs w:val="21"/>
              </w:rPr>
              <w:t>□</w:t>
            </w:r>
            <w:r>
              <w:rPr>
                <w:rFonts w:ascii="Times New Roman" w:hAnsi="Times New Roman" w:eastAsia="宋体" w:cs="Times New Roman"/>
                <w:color w:val="000000"/>
                <w:kern w:val="0"/>
                <w:sz w:val="21"/>
                <w:szCs w:val="21"/>
              </w:rPr>
              <w:t>放射性污染</w:t>
            </w:r>
          </w:p>
        </w:tc>
        <w:tc>
          <w:tcPr>
            <w:tcW w:w="2252" w:type="pct"/>
            <w:gridSpan w:val="4"/>
            <w:vAlign w:val="center"/>
          </w:tcPr>
          <w:p>
            <w:pP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污染面积（m</w:t>
            </w:r>
            <w:r>
              <w:rPr>
                <w:rFonts w:ascii="Times New Roman" w:hAnsi="Times New Roman" w:eastAsia="宋体" w:cs="Times New Roman"/>
                <w:color w:val="000000"/>
                <w:kern w:val="0"/>
                <w:sz w:val="21"/>
                <w:szCs w:val="21"/>
                <w:vertAlign w:val="superscript"/>
              </w:rPr>
              <w:t>2</w:t>
            </w:r>
            <w:r>
              <w:rPr>
                <w:rFonts w:ascii="Times New Roman" w:hAnsi="Times New Roman"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序号</w:t>
            </w:r>
          </w:p>
        </w:tc>
        <w:tc>
          <w:tcPr>
            <w:tcW w:w="691" w:type="pct"/>
            <w:gridSpan w:val="2"/>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事故源</w:t>
            </w:r>
          </w:p>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核素名称</w:t>
            </w:r>
          </w:p>
        </w:tc>
        <w:tc>
          <w:tcPr>
            <w:tcW w:w="593" w:type="pct"/>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出厂活度（Bq）</w:t>
            </w:r>
          </w:p>
        </w:tc>
        <w:tc>
          <w:tcPr>
            <w:tcW w:w="1084" w:type="pct"/>
            <w:gridSpan w:val="2"/>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出厂日期</w:t>
            </w:r>
          </w:p>
        </w:tc>
        <w:tc>
          <w:tcPr>
            <w:tcW w:w="596" w:type="pct"/>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放射源编码</w:t>
            </w:r>
          </w:p>
        </w:tc>
        <w:tc>
          <w:tcPr>
            <w:tcW w:w="681" w:type="pct"/>
            <w:gridSpan w:val="2"/>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事故时活度（Bq）</w:t>
            </w:r>
          </w:p>
        </w:tc>
        <w:tc>
          <w:tcPr>
            <w:tcW w:w="975" w:type="pct"/>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(非密封)放射性物质状态（固/液态）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Align w:val="center"/>
          </w:tcPr>
          <w:p>
            <w:pPr>
              <w:jc w:val="center"/>
              <w:rPr>
                <w:rFonts w:ascii="Times New Roman" w:hAnsi="Times New Roman" w:eastAsia="宋体" w:cs="Times New Roman"/>
                <w:color w:val="000000"/>
                <w:kern w:val="0"/>
                <w:sz w:val="21"/>
                <w:szCs w:val="21"/>
              </w:rPr>
            </w:pPr>
          </w:p>
        </w:tc>
        <w:tc>
          <w:tcPr>
            <w:tcW w:w="691" w:type="pct"/>
            <w:gridSpan w:val="2"/>
            <w:vAlign w:val="center"/>
          </w:tcPr>
          <w:p>
            <w:pPr>
              <w:jc w:val="center"/>
              <w:rPr>
                <w:rFonts w:ascii="Times New Roman" w:hAnsi="Times New Roman" w:eastAsia="宋体" w:cs="Times New Roman"/>
                <w:color w:val="000000"/>
                <w:kern w:val="0"/>
                <w:sz w:val="21"/>
                <w:szCs w:val="21"/>
              </w:rPr>
            </w:pPr>
          </w:p>
        </w:tc>
        <w:tc>
          <w:tcPr>
            <w:tcW w:w="593" w:type="pct"/>
            <w:vAlign w:val="center"/>
          </w:tcPr>
          <w:p>
            <w:pPr>
              <w:jc w:val="center"/>
              <w:rPr>
                <w:rFonts w:ascii="Times New Roman" w:hAnsi="Times New Roman" w:eastAsia="宋体" w:cs="Times New Roman"/>
                <w:color w:val="000000"/>
                <w:kern w:val="0"/>
                <w:sz w:val="21"/>
                <w:szCs w:val="21"/>
              </w:rPr>
            </w:pPr>
          </w:p>
        </w:tc>
        <w:tc>
          <w:tcPr>
            <w:tcW w:w="1084" w:type="pct"/>
            <w:gridSpan w:val="2"/>
            <w:vAlign w:val="center"/>
          </w:tcPr>
          <w:p>
            <w:pPr>
              <w:jc w:val="center"/>
              <w:rPr>
                <w:rFonts w:ascii="Times New Roman" w:hAnsi="Times New Roman" w:eastAsia="宋体" w:cs="Times New Roman"/>
                <w:color w:val="000000"/>
                <w:kern w:val="0"/>
                <w:sz w:val="21"/>
                <w:szCs w:val="21"/>
              </w:rPr>
            </w:pPr>
          </w:p>
        </w:tc>
        <w:tc>
          <w:tcPr>
            <w:tcW w:w="596" w:type="pct"/>
            <w:vAlign w:val="center"/>
          </w:tcPr>
          <w:p>
            <w:pPr>
              <w:jc w:val="center"/>
              <w:rPr>
                <w:rFonts w:ascii="Times New Roman" w:hAnsi="Times New Roman" w:eastAsia="宋体" w:cs="Times New Roman"/>
                <w:color w:val="000000"/>
                <w:kern w:val="0"/>
                <w:sz w:val="21"/>
                <w:szCs w:val="21"/>
              </w:rPr>
            </w:pPr>
          </w:p>
        </w:tc>
        <w:tc>
          <w:tcPr>
            <w:tcW w:w="681" w:type="pct"/>
            <w:gridSpan w:val="2"/>
            <w:vAlign w:val="center"/>
          </w:tcPr>
          <w:p>
            <w:pPr>
              <w:jc w:val="center"/>
              <w:rPr>
                <w:rFonts w:ascii="Times New Roman" w:hAnsi="Times New Roman" w:eastAsia="宋体" w:cs="Times New Roman"/>
                <w:color w:val="000000"/>
                <w:kern w:val="0"/>
                <w:sz w:val="21"/>
                <w:szCs w:val="21"/>
              </w:rPr>
            </w:pPr>
          </w:p>
        </w:tc>
        <w:tc>
          <w:tcPr>
            <w:tcW w:w="975" w:type="pct"/>
            <w:vAlign w:val="center"/>
          </w:tcPr>
          <w:p>
            <w:pPr>
              <w:jc w:val="center"/>
              <w:rPr>
                <w:rFonts w:ascii="Times New Roman" w:hAnsi="Times New Roman"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Align w:val="center"/>
          </w:tcPr>
          <w:p>
            <w:pPr>
              <w:jc w:val="center"/>
              <w:rPr>
                <w:rFonts w:ascii="Times New Roman" w:hAnsi="Times New Roman" w:eastAsia="宋体" w:cs="Times New Roman"/>
                <w:color w:val="000000"/>
                <w:kern w:val="0"/>
                <w:sz w:val="21"/>
                <w:szCs w:val="21"/>
              </w:rPr>
            </w:pPr>
          </w:p>
        </w:tc>
        <w:tc>
          <w:tcPr>
            <w:tcW w:w="691" w:type="pct"/>
            <w:gridSpan w:val="2"/>
            <w:vAlign w:val="center"/>
          </w:tcPr>
          <w:p>
            <w:pPr>
              <w:jc w:val="center"/>
              <w:rPr>
                <w:rFonts w:ascii="Times New Roman" w:hAnsi="Times New Roman" w:eastAsia="宋体" w:cs="Times New Roman"/>
                <w:color w:val="000000"/>
                <w:kern w:val="0"/>
                <w:sz w:val="21"/>
                <w:szCs w:val="21"/>
              </w:rPr>
            </w:pPr>
          </w:p>
        </w:tc>
        <w:tc>
          <w:tcPr>
            <w:tcW w:w="593" w:type="pct"/>
            <w:vAlign w:val="center"/>
          </w:tcPr>
          <w:p>
            <w:pPr>
              <w:jc w:val="center"/>
              <w:rPr>
                <w:rFonts w:ascii="Times New Roman" w:hAnsi="Times New Roman" w:eastAsia="宋体" w:cs="Times New Roman"/>
                <w:color w:val="000000"/>
                <w:kern w:val="0"/>
                <w:sz w:val="21"/>
                <w:szCs w:val="21"/>
              </w:rPr>
            </w:pPr>
          </w:p>
        </w:tc>
        <w:tc>
          <w:tcPr>
            <w:tcW w:w="1084" w:type="pct"/>
            <w:gridSpan w:val="2"/>
            <w:vAlign w:val="center"/>
          </w:tcPr>
          <w:p>
            <w:pPr>
              <w:jc w:val="center"/>
              <w:rPr>
                <w:rFonts w:ascii="Times New Roman" w:hAnsi="Times New Roman" w:eastAsia="宋体" w:cs="Times New Roman"/>
                <w:color w:val="000000"/>
                <w:kern w:val="0"/>
                <w:sz w:val="21"/>
                <w:szCs w:val="21"/>
              </w:rPr>
            </w:pPr>
          </w:p>
        </w:tc>
        <w:tc>
          <w:tcPr>
            <w:tcW w:w="596" w:type="pct"/>
            <w:vAlign w:val="center"/>
          </w:tcPr>
          <w:p>
            <w:pPr>
              <w:jc w:val="center"/>
              <w:rPr>
                <w:rFonts w:ascii="Times New Roman" w:hAnsi="Times New Roman" w:eastAsia="宋体" w:cs="Times New Roman"/>
                <w:color w:val="000000"/>
                <w:kern w:val="0"/>
                <w:sz w:val="21"/>
                <w:szCs w:val="21"/>
              </w:rPr>
            </w:pPr>
          </w:p>
        </w:tc>
        <w:tc>
          <w:tcPr>
            <w:tcW w:w="681" w:type="pct"/>
            <w:gridSpan w:val="2"/>
            <w:vAlign w:val="center"/>
          </w:tcPr>
          <w:p>
            <w:pPr>
              <w:jc w:val="center"/>
              <w:rPr>
                <w:rFonts w:ascii="Times New Roman" w:hAnsi="Times New Roman" w:eastAsia="宋体" w:cs="Times New Roman"/>
                <w:color w:val="000000"/>
                <w:kern w:val="0"/>
                <w:sz w:val="21"/>
                <w:szCs w:val="21"/>
              </w:rPr>
            </w:pPr>
          </w:p>
        </w:tc>
        <w:tc>
          <w:tcPr>
            <w:tcW w:w="975" w:type="pct"/>
            <w:vAlign w:val="center"/>
          </w:tcPr>
          <w:p>
            <w:pPr>
              <w:jc w:val="center"/>
              <w:rPr>
                <w:rFonts w:ascii="Times New Roman" w:hAnsi="Times New Roman"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序号</w:t>
            </w:r>
          </w:p>
        </w:tc>
        <w:tc>
          <w:tcPr>
            <w:tcW w:w="691" w:type="pct"/>
            <w:gridSpan w:val="2"/>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射线装置</w:t>
            </w:r>
          </w:p>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名称</w:t>
            </w:r>
          </w:p>
        </w:tc>
        <w:tc>
          <w:tcPr>
            <w:tcW w:w="593" w:type="pct"/>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型号</w:t>
            </w:r>
          </w:p>
        </w:tc>
        <w:tc>
          <w:tcPr>
            <w:tcW w:w="1084" w:type="pct"/>
            <w:gridSpan w:val="2"/>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生产厂家</w:t>
            </w:r>
          </w:p>
        </w:tc>
        <w:tc>
          <w:tcPr>
            <w:tcW w:w="596" w:type="pct"/>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设备编号</w:t>
            </w:r>
          </w:p>
        </w:tc>
        <w:tc>
          <w:tcPr>
            <w:tcW w:w="681" w:type="pct"/>
            <w:gridSpan w:val="2"/>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所在场所</w:t>
            </w:r>
          </w:p>
        </w:tc>
        <w:tc>
          <w:tcPr>
            <w:tcW w:w="975" w:type="pct"/>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Align w:val="center"/>
          </w:tcPr>
          <w:p>
            <w:pPr>
              <w:jc w:val="center"/>
              <w:rPr>
                <w:rFonts w:ascii="Times New Roman" w:hAnsi="Times New Roman" w:eastAsia="宋体" w:cs="Times New Roman"/>
                <w:color w:val="000000"/>
                <w:kern w:val="0"/>
                <w:sz w:val="21"/>
                <w:szCs w:val="21"/>
              </w:rPr>
            </w:pPr>
          </w:p>
        </w:tc>
        <w:tc>
          <w:tcPr>
            <w:tcW w:w="691" w:type="pct"/>
            <w:gridSpan w:val="2"/>
            <w:vAlign w:val="center"/>
          </w:tcPr>
          <w:p>
            <w:pPr>
              <w:jc w:val="center"/>
              <w:rPr>
                <w:rFonts w:ascii="Times New Roman" w:hAnsi="Times New Roman" w:eastAsia="宋体" w:cs="Times New Roman"/>
                <w:color w:val="000000"/>
                <w:kern w:val="0"/>
                <w:sz w:val="21"/>
                <w:szCs w:val="21"/>
              </w:rPr>
            </w:pPr>
          </w:p>
        </w:tc>
        <w:tc>
          <w:tcPr>
            <w:tcW w:w="593" w:type="pct"/>
            <w:vAlign w:val="center"/>
          </w:tcPr>
          <w:p>
            <w:pPr>
              <w:jc w:val="center"/>
              <w:rPr>
                <w:rFonts w:ascii="Times New Roman" w:hAnsi="Times New Roman" w:eastAsia="宋体" w:cs="Times New Roman"/>
                <w:color w:val="000000"/>
                <w:kern w:val="0"/>
                <w:sz w:val="21"/>
                <w:szCs w:val="21"/>
              </w:rPr>
            </w:pPr>
          </w:p>
        </w:tc>
        <w:tc>
          <w:tcPr>
            <w:tcW w:w="1084" w:type="pct"/>
            <w:gridSpan w:val="2"/>
            <w:vAlign w:val="center"/>
          </w:tcPr>
          <w:p>
            <w:pPr>
              <w:jc w:val="center"/>
              <w:rPr>
                <w:rFonts w:ascii="Times New Roman" w:hAnsi="Times New Roman" w:eastAsia="宋体" w:cs="Times New Roman"/>
                <w:color w:val="000000"/>
                <w:kern w:val="0"/>
                <w:sz w:val="21"/>
                <w:szCs w:val="21"/>
              </w:rPr>
            </w:pPr>
          </w:p>
        </w:tc>
        <w:tc>
          <w:tcPr>
            <w:tcW w:w="596" w:type="pct"/>
            <w:vAlign w:val="center"/>
          </w:tcPr>
          <w:p>
            <w:pPr>
              <w:jc w:val="center"/>
              <w:rPr>
                <w:rFonts w:ascii="Times New Roman" w:hAnsi="Times New Roman" w:eastAsia="宋体" w:cs="Times New Roman"/>
                <w:color w:val="000000"/>
                <w:kern w:val="0"/>
                <w:sz w:val="21"/>
                <w:szCs w:val="21"/>
              </w:rPr>
            </w:pPr>
          </w:p>
        </w:tc>
        <w:tc>
          <w:tcPr>
            <w:tcW w:w="681" w:type="pct"/>
            <w:gridSpan w:val="2"/>
            <w:vAlign w:val="center"/>
          </w:tcPr>
          <w:p>
            <w:pPr>
              <w:jc w:val="center"/>
              <w:rPr>
                <w:rFonts w:ascii="Times New Roman" w:hAnsi="Times New Roman" w:eastAsia="宋体" w:cs="Times New Roman"/>
                <w:color w:val="000000"/>
                <w:kern w:val="0"/>
                <w:sz w:val="21"/>
                <w:szCs w:val="21"/>
              </w:rPr>
            </w:pPr>
          </w:p>
        </w:tc>
        <w:tc>
          <w:tcPr>
            <w:tcW w:w="975" w:type="pct"/>
            <w:vAlign w:val="center"/>
          </w:tcPr>
          <w:p>
            <w:pPr>
              <w:jc w:val="center"/>
              <w:rPr>
                <w:rFonts w:ascii="Times New Roman" w:hAnsi="Times New Roman"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Align w:val="center"/>
          </w:tcPr>
          <w:p>
            <w:pPr>
              <w:jc w:val="center"/>
              <w:rPr>
                <w:rFonts w:ascii="Times New Roman" w:hAnsi="Times New Roman" w:eastAsia="宋体" w:cs="Times New Roman"/>
                <w:color w:val="000000"/>
                <w:kern w:val="0"/>
                <w:sz w:val="21"/>
                <w:szCs w:val="21"/>
              </w:rPr>
            </w:pPr>
          </w:p>
        </w:tc>
        <w:tc>
          <w:tcPr>
            <w:tcW w:w="691" w:type="pct"/>
            <w:gridSpan w:val="2"/>
            <w:vAlign w:val="center"/>
          </w:tcPr>
          <w:p>
            <w:pPr>
              <w:jc w:val="center"/>
              <w:rPr>
                <w:rFonts w:ascii="Times New Roman" w:hAnsi="Times New Roman" w:eastAsia="宋体" w:cs="Times New Roman"/>
                <w:color w:val="000000"/>
                <w:kern w:val="0"/>
                <w:sz w:val="21"/>
                <w:szCs w:val="21"/>
              </w:rPr>
            </w:pPr>
          </w:p>
        </w:tc>
        <w:tc>
          <w:tcPr>
            <w:tcW w:w="593" w:type="pct"/>
            <w:vAlign w:val="center"/>
          </w:tcPr>
          <w:p>
            <w:pPr>
              <w:jc w:val="center"/>
              <w:rPr>
                <w:rFonts w:ascii="Times New Roman" w:hAnsi="Times New Roman" w:eastAsia="宋体" w:cs="Times New Roman"/>
                <w:color w:val="000000"/>
                <w:kern w:val="0"/>
                <w:sz w:val="21"/>
                <w:szCs w:val="21"/>
              </w:rPr>
            </w:pPr>
          </w:p>
        </w:tc>
        <w:tc>
          <w:tcPr>
            <w:tcW w:w="1084" w:type="pct"/>
            <w:gridSpan w:val="2"/>
            <w:vAlign w:val="center"/>
          </w:tcPr>
          <w:p>
            <w:pPr>
              <w:jc w:val="center"/>
              <w:rPr>
                <w:rFonts w:ascii="Times New Roman" w:hAnsi="Times New Roman" w:eastAsia="宋体" w:cs="Times New Roman"/>
                <w:color w:val="000000"/>
                <w:kern w:val="0"/>
                <w:sz w:val="21"/>
                <w:szCs w:val="21"/>
              </w:rPr>
            </w:pPr>
          </w:p>
        </w:tc>
        <w:tc>
          <w:tcPr>
            <w:tcW w:w="596" w:type="pct"/>
            <w:vAlign w:val="center"/>
          </w:tcPr>
          <w:p>
            <w:pPr>
              <w:jc w:val="center"/>
              <w:rPr>
                <w:rFonts w:ascii="Times New Roman" w:hAnsi="Times New Roman" w:eastAsia="宋体" w:cs="Times New Roman"/>
                <w:color w:val="000000"/>
                <w:kern w:val="0"/>
                <w:sz w:val="21"/>
                <w:szCs w:val="21"/>
              </w:rPr>
            </w:pPr>
          </w:p>
        </w:tc>
        <w:tc>
          <w:tcPr>
            <w:tcW w:w="681" w:type="pct"/>
            <w:gridSpan w:val="2"/>
            <w:vAlign w:val="center"/>
          </w:tcPr>
          <w:p>
            <w:pPr>
              <w:jc w:val="center"/>
              <w:rPr>
                <w:rFonts w:ascii="Times New Roman" w:hAnsi="Times New Roman" w:eastAsia="宋体" w:cs="Times New Roman"/>
                <w:color w:val="000000"/>
                <w:kern w:val="0"/>
                <w:sz w:val="21"/>
                <w:szCs w:val="21"/>
              </w:rPr>
            </w:pPr>
          </w:p>
        </w:tc>
        <w:tc>
          <w:tcPr>
            <w:tcW w:w="975" w:type="pct"/>
            <w:vAlign w:val="center"/>
          </w:tcPr>
          <w:p>
            <w:pPr>
              <w:jc w:val="center"/>
              <w:rPr>
                <w:rFonts w:ascii="Times New Roman" w:hAnsi="Times New Roman"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pct"/>
            <w:gridSpan w:val="2"/>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事故级别</w:t>
            </w:r>
          </w:p>
        </w:tc>
        <w:tc>
          <w:tcPr>
            <w:tcW w:w="4045" w:type="pct"/>
            <w:gridSpan w:val="8"/>
            <w:vAlign w:val="center"/>
          </w:tcPr>
          <w:p>
            <w:pPr>
              <w:ind w:left="420" w:leftChars="200"/>
              <w:rPr>
                <w:rFonts w:ascii="Times New Roman" w:hAnsi="Times New Roman" w:eastAsia="宋体" w:cs="Times New Roman"/>
                <w:color w:val="000000"/>
                <w:kern w:val="0"/>
                <w:sz w:val="21"/>
                <w:szCs w:val="21"/>
              </w:rPr>
            </w:pPr>
            <w:r>
              <w:rPr>
                <w:rFonts w:hint="eastAsia" w:ascii="宋体" w:hAnsi="宋体" w:eastAsia="宋体" w:cs="Times New Roman"/>
                <w:color w:val="000000"/>
                <w:kern w:val="0"/>
                <w:sz w:val="21"/>
                <w:szCs w:val="21"/>
              </w:rPr>
              <w:t>□</w:t>
            </w:r>
            <w:r>
              <w:rPr>
                <w:rFonts w:ascii="Times New Roman" w:hAnsi="Times New Roman" w:eastAsia="宋体" w:cs="Times New Roman"/>
                <w:color w:val="000000"/>
                <w:kern w:val="0"/>
                <w:sz w:val="21"/>
                <w:szCs w:val="21"/>
              </w:rPr>
              <w:t xml:space="preserve">一般辐射事故        </w:t>
            </w:r>
            <w:r>
              <w:rPr>
                <w:rFonts w:hint="eastAsia" w:ascii="宋体" w:hAnsi="宋体" w:eastAsia="宋体" w:cs="Times New Roman"/>
                <w:color w:val="000000"/>
                <w:kern w:val="0"/>
                <w:sz w:val="21"/>
                <w:szCs w:val="21"/>
              </w:rPr>
              <w:t>□</w:t>
            </w:r>
            <w:r>
              <w:rPr>
                <w:rFonts w:ascii="Times New Roman" w:hAnsi="Times New Roman" w:eastAsia="宋体" w:cs="Times New Roman"/>
                <w:color w:val="000000"/>
                <w:kern w:val="0"/>
                <w:sz w:val="21"/>
                <w:szCs w:val="21"/>
              </w:rPr>
              <w:t>较大辐射事故</w:t>
            </w:r>
          </w:p>
          <w:p>
            <w:pPr>
              <w:ind w:left="420" w:leftChars="200"/>
              <w:rPr>
                <w:rFonts w:ascii="Times New Roman" w:hAnsi="Times New Roman" w:eastAsia="宋体" w:cs="Times New Roman"/>
                <w:color w:val="000000"/>
                <w:kern w:val="0"/>
                <w:sz w:val="21"/>
                <w:szCs w:val="21"/>
              </w:rPr>
            </w:pPr>
            <w:r>
              <w:rPr>
                <w:rFonts w:hint="eastAsia" w:ascii="宋体" w:hAnsi="宋体" w:eastAsia="宋体" w:cs="Times New Roman"/>
                <w:color w:val="000000"/>
                <w:kern w:val="0"/>
                <w:sz w:val="21"/>
                <w:szCs w:val="21"/>
              </w:rPr>
              <w:t>□</w:t>
            </w:r>
            <w:r>
              <w:rPr>
                <w:rFonts w:ascii="Times New Roman" w:hAnsi="Times New Roman" w:eastAsia="宋体" w:cs="Times New Roman"/>
                <w:color w:val="000000"/>
                <w:kern w:val="0"/>
                <w:sz w:val="21"/>
                <w:szCs w:val="21"/>
              </w:rPr>
              <w:t xml:space="preserve">重大辐射事故        </w:t>
            </w:r>
            <w:r>
              <w:rPr>
                <w:rFonts w:hint="eastAsia" w:ascii="宋体" w:hAnsi="宋体" w:eastAsia="宋体" w:cs="Times New Roman"/>
                <w:color w:val="000000"/>
                <w:kern w:val="0"/>
                <w:sz w:val="21"/>
                <w:szCs w:val="21"/>
              </w:rPr>
              <w:t>□</w:t>
            </w:r>
            <w:r>
              <w:rPr>
                <w:rFonts w:ascii="Times New Roman" w:hAnsi="Times New Roman" w:eastAsia="宋体" w:cs="Times New Roman"/>
                <w:color w:val="000000"/>
                <w:kern w:val="0"/>
                <w:sz w:val="21"/>
                <w:szCs w:val="21"/>
              </w:rPr>
              <w:t>特别重大辐射事故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954" w:type="pct"/>
            <w:gridSpan w:val="2"/>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事故经过和处理情况</w:t>
            </w:r>
          </w:p>
        </w:tc>
        <w:tc>
          <w:tcPr>
            <w:tcW w:w="4045" w:type="pct"/>
            <w:gridSpan w:val="8"/>
            <w:vAlign w:val="center"/>
          </w:tcPr>
          <w:p>
            <w:pPr>
              <w:rPr>
                <w:rFonts w:ascii="Times New Roman" w:hAnsi="Times New Roman" w:eastAsia="宋体" w:cs="Times New Roman"/>
                <w:color w:val="000000"/>
                <w:kern w:val="0"/>
                <w:sz w:val="21"/>
                <w:szCs w:val="21"/>
              </w:rPr>
            </w:pPr>
          </w:p>
          <w:p>
            <w:pPr>
              <w:widowControl w:val="0"/>
              <w:ind w:firstLine="0" w:firstLineChars="0"/>
              <w:jc w:val="both"/>
              <w:rPr>
                <w:rFonts w:ascii="Times New Roman" w:hAnsi="Times New Roman" w:eastAsia="宋体" w:cs="Times New Roman"/>
                <w:kern w:val="2"/>
                <w:sz w:val="21"/>
                <w:szCs w:val="21"/>
                <w:lang w:val="en-US" w:eastAsia="zh-CN" w:bidi="ar-SA"/>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pct"/>
            <w:gridSpan w:val="2"/>
            <w:vMerge w:val="restart"/>
            <w:vAlign w:val="center"/>
          </w:tcPr>
          <w:p>
            <w:pPr>
              <w:jc w:val="center"/>
              <w:rPr>
                <w:rFonts w:ascii="Times New Roman" w:hAnsi="Times New Roman" w:eastAsia="宋体" w:cs="Times New Roman"/>
                <w:color w:val="000000"/>
                <w:spacing w:val="-20"/>
                <w:kern w:val="0"/>
                <w:sz w:val="21"/>
                <w:szCs w:val="21"/>
              </w:rPr>
            </w:pPr>
            <w:r>
              <w:rPr>
                <w:rFonts w:ascii="Times New Roman" w:hAnsi="Times New Roman" w:eastAsia="宋体" w:cs="Times New Roman"/>
                <w:color w:val="000000"/>
                <w:spacing w:val="-20"/>
                <w:kern w:val="0"/>
                <w:sz w:val="21"/>
                <w:szCs w:val="21"/>
              </w:rPr>
              <w:t>事</w:t>
            </w:r>
            <w:r>
              <w:rPr>
                <w:rFonts w:ascii="Times New Roman" w:hAnsi="Times New Roman" w:eastAsia="宋体" w:cs="Times New Roman"/>
                <w:color w:val="000000"/>
                <w:kern w:val="0"/>
                <w:sz w:val="21"/>
                <w:szCs w:val="21"/>
              </w:rPr>
              <w:t>故发生地省级生态环境厅</w:t>
            </w:r>
          </w:p>
        </w:tc>
        <w:tc>
          <w:tcPr>
            <w:tcW w:w="1171" w:type="pct"/>
            <w:gridSpan w:val="3"/>
            <w:vAlign w:val="center"/>
          </w:tcPr>
          <w:p>
            <w:pP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联系人：</w:t>
            </w:r>
          </w:p>
        </w:tc>
        <w:tc>
          <w:tcPr>
            <w:tcW w:w="2874" w:type="pct"/>
            <w:gridSpan w:val="5"/>
            <w:vMerge w:val="restart"/>
            <w:vAlign w:val="center"/>
          </w:tcPr>
          <w:p>
            <w:pPr>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pct"/>
            <w:gridSpan w:val="2"/>
            <w:vMerge w:val="continue"/>
            <w:vAlign w:val="center"/>
          </w:tcPr>
          <w:p>
            <w:pPr>
              <w:jc w:val="center"/>
              <w:rPr>
                <w:rFonts w:ascii="Times New Roman" w:hAnsi="Times New Roman" w:eastAsia="宋体" w:cs="Times New Roman"/>
                <w:color w:val="000000"/>
                <w:kern w:val="0"/>
                <w:sz w:val="21"/>
                <w:szCs w:val="21"/>
              </w:rPr>
            </w:pPr>
          </w:p>
        </w:tc>
        <w:tc>
          <w:tcPr>
            <w:tcW w:w="1171" w:type="pct"/>
            <w:gridSpan w:val="3"/>
            <w:vAlign w:val="center"/>
          </w:tcPr>
          <w:p>
            <w:pP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电话：</w:t>
            </w:r>
          </w:p>
        </w:tc>
        <w:tc>
          <w:tcPr>
            <w:tcW w:w="2874" w:type="pct"/>
            <w:gridSpan w:val="5"/>
            <w:vMerge w:val="continue"/>
            <w:vAlign w:val="center"/>
          </w:tcPr>
          <w:p>
            <w:pPr>
              <w:jc w:val="center"/>
              <w:rPr>
                <w:rFonts w:ascii="Times New Roman" w:hAnsi="Times New Roman"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pct"/>
            <w:gridSpan w:val="2"/>
            <w:vMerge w:val="continue"/>
            <w:vAlign w:val="center"/>
          </w:tcPr>
          <w:p>
            <w:pPr>
              <w:jc w:val="center"/>
              <w:rPr>
                <w:rFonts w:ascii="Times New Roman" w:hAnsi="Times New Roman" w:eastAsia="宋体" w:cs="Times New Roman"/>
                <w:color w:val="000000"/>
                <w:kern w:val="0"/>
                <w:sz w:val="21"/>
                <w:szCs w:val="21"/>
              </w:rPr>
            </w:pPr>
          </w:p>
        </w:tc>
        <w:tc>
          <w:tcPr>
            <w:tcW w:w="1171" w:type="pct"/>
            <w:gridSpan w:val="3"/>
            <w:vAlign w:val="center"/>
          </w:tcPr>
          <w:p>
            <w:pP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传真：</w:t>
            </w:r>
          </w:p>
        </w:tc>
        <w:tc>
          <w:tcPr>
            <w:tcW w:w="2874" w:type="pct"/>
            <w:gridSpan w:val="5"/>
            <w:vMerge w:val="continue"/>
            <w:vAlign w:val="center"/>
          </w:tcPr>
          <w:p>
            <w:pPr>
              <w:jc w:val="center"/>
              <w:rPr>
                <w:rFonts w:ascii="Times New Roman" w:hAnsi="Times New Roman" w:eastAsia="宋体" w:cs="Times New Roman"/>
                <w:color w:val="000000"/>
                <w:kern w:val="0"/>
                <w:sz w:val="21"/>
                <w:szCs w:val="21"/>
              </w:rPr>
            </w:pPr>
          </w:p>
        </w:tc>
      </w:tr>
    </w:tbl>
    <w:p>
      <w:pPr>
        <w:ind w:left="420" w:hanging="420" w:hangingChars="20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注：射线装置的“主要参数”是指X射线机的电流（mA）和电压（kV）、加速器线速能量等主要性能参数。</w:t>
      </w:r>
    </w:p>
    <w:p>
      <w:pPr>
        <w:rPr>
          <w:rFonts w:hint="eastAsia" w:ascii="宋体" w:hAnsi="宋体" w:eastAsia="宋体" w:cs="宋体"/>
          <w:b/>
          <w:sz w:val="32"/>
          <w:szCs w:val="32"/>
        </w:rPr>
      </w:pPr>
      <w:r>
        <w:rPr>
          <w:rFonts w:hint="eastAsia" w:ascii="宋体" w:hAnsi="宋体" w:eastAsia="宋体" w:cs="宋体"/>
          <w:b/>
          <w:sz w:val="32"/>
          <w:szCs w:val="32"/>
        </w:rPr>
        <w:br w:type="page"/>
      </w:r>
    </w:p>
    <w:p>
      <w:pPr>
        <w:spacing w:before="156" w:beforeLines="50" w:after="156" w:afterLines="50" w:line="360" w:lineRule="auto"/>
        <w:outlineLvl w:val="1"/>
        <w:rPr>
          <w:rFonts w:hint="eastAsia" w:ascii="黑体" w:hAnsi="黑体" w:eastAsia="黑体" w:cs="黑体"/>
          <w:b w:val="0"/>
          <w:bCs/>
          <w:sz w:val="32"/>
          <w:szCs w:val="32"/>
        </w:rPr>
      </w:pPr>
      <w:bookmarkStart w:id="313" w:name="_Toc26155"/>
      <w:bookmarkStart w:id="314" w:name="_Toc22468"/>
      <w:bookmarkStart w:id="315" w:name="_Toc29965"/>
      <w:bookmarkStart w:id="316" w:name="_Toc4059"/>
      <w:bookmarkStart w:id="317" w:name="_Toc4556"/>
      <w:r>
        <w:rPr>
          <w:rFonts w:hint="eastAsia" w:ascii="黑体" w:hAnsi="黑体" w:eastAsia="黑体" w:cs="黑体"/>
          <w:b w:val="0"/>
          <w:bCs/>
          <w:sz w:val="32"/>
          <w:szCs w:val="32"/>
        </w:rPr>
        <w:t>附件3：</w:t>
      </w:r>
      <w:bookmarkEnd w:id="313"/>
      <w:bookmarkEnd w:id="314"/>
      <w:bookmarkEnd w:id="315"/>
      <w:bookmarkEnd w:id="316"/>
      <w:bookmarkEnd w:id="317"/>
      <w:r>
        <w:rPr>
          <w:rFonts w:hint="eastAsia" w:ascii="黑体" w:hAnsi="黑体" w:eastAsia="黑体" w:cs="黑体"/>
          <w:b w:val="0"/>
          <w:bCs/>
          <w:sz w:val="32"/>
          <w:szCs w:val="32"/>
        </w:rPr>
        <w:t>深圳市辐射事故总结报告表</w:t>
      </w:r>
    </w:p>
    <w:p>
      <w:pPr>
        <w:adjustRightInd w:val="0"/>
        <w:snapToGrid w:val="0"/>
        <w:spacing w:line="360" w:lineRule="auto"/>
        <w:jc w:val="center"/>
        <w:rPr>
          <w:rFonts w:ascii="宋体" w:hAnsi="宋体" w:eastAsia="宋体" w:cs="Times New Roman"/>
          <w:b/>
          <w:bCs/>
          <w:sz w:val="32"/>
          <w:szCs w:val="32"/>
        </w:rPr>
      </w:pPr>
    </w:p>
    <w:p>
      <w:pPr>
        <w:adjustRightInd w:val="0"/>
        <w:snapToGrid w:val="0"/>
        <w:spacing w:line="360" w:lineRule="auto"/>
        <w:jc w:val="center"/>
        <w:rPr>
          <w:rFonts w:ascii="宋体" w:hAnsi="宋体" w:eastAsia="宋体" w:cs="Times New Roman"/>
          <w:b/>
          <w:bCs/>
          <w:sz w:val="32"/>
          <w:szCs w:val="32"/>
        </w:rPr>
      </w:pPr>
    </w:p>
    <w:p>
      <w:pPr>
        <w:spacing w:line="360" w:lineRule="auto"/>
        <w:jc w:val="center"/>
        <w:rPr>
          <w:rFonts w:ascii="方正小标宋简体" w:hAnsi="Times New Roman" w:eastAsia="方正小标宋简体" w:cs="华文中宋"/>
          <w:bCs/>
          <w:color w:val="000000"/>
          <w:sz w:val="44"/>
          <w:szCs w:val="44"/>
        </w:rPr>
      </w:pPr>
      <w:r>
        <w:rPr>
          <w:rFonts w:hint="eastAsia" w:ascii="方正小标宋简体" w:hAnsi="Times New Roman" w:eastAsia="方正小标宋简体" w:cs="华文中宋"/>
          <w:bCs/>
          <w:color w:val="000000"/>
          <w:sz w:val="44"/>
          <w:szCs w:val="44"/>
        </w:rPr>
        <w:t>辐射事故总结报告</w:t>
      </w:r>
    </w:p>
    <w:p>
      <w:pPr>
        <w:adjustRightInd w:val="0"/>
        <w:snapToGrid w:val="0"/>
        <w:spacing w:line="360" w:lineRule="auto"/>
        <w:jc w:val="center"/>
        <w:rPr>
          <w:rFonts w:ascii="宋体" w:hAnsi="宋体" w:eastAsia="宋体" w:cs="Times New Roman"/>
          <w:b/>
          <w:bCs/>
          <w:sz w:val="32"/>
          <w:szCs w:val="32"/>
        </w:rPr>
      </w:pPr>
    </w:p>
    <w:p>
      <w:pPr>
        <w:adjustRightInd w:val="0"/>
        <w:snapToGrid w:val="0"/>
        <w:spacing w:line="360" w:lineRule="auto"/>
        <w:jc w:val="center"/>
        <w:rPr>
          <w:rFonts w:ascii="宋体" w:hAnsi="宋体" w:eastAsia="宋体" w:cs="Times New Roman"/>
          <w:b/>
          <w:bCs/>
          <w:sz w:val="32"/>
          <w:szCs w:val="32"/>
        </w:rPr>
      </w:pPr>
    </w:p>
    <w:p>
      <w:pPr>
        <w:adjustRightInd w:val="0"/>
        <w:snapToGrid w:val="0"/>
        <w:spacing w:line="360" w:lineRule="auto"/>
        <w:jc w:val="center"/>
        <w:rPr>
          <w:rFonts w:ascii="宋体" w:hAnsi="宋体" w:eastAsia="宋体" w:cs="Times New Roman"/>
          <w:b/>
          <w:bCs/>
          <w:sz w:val="32"/>
          <w:szCs w:val="32"/>
        </w:rPr>
      </w:pPr>
    </w:p>
    <w:p>
      <w:pPr>
        <w:spacing w:line="360" w:lineRule="auto"/>
        <w:ind w:left="2100" w:leftChars="1000"/>
        <w:rPr>
          <w:rFonts w:ascii="Times New Roman" w:hAnsi="Times New Roman" w:eastAsia="仿宋_GB2312" w:cs="Times New Roman"/>
          <w:b/>
          <w:bCs/>
          <w:sz w:val="32"/>
          <w:szCs w:val="32"/>
          <w:u w:val="single"/>
        </w:rPr>
      </w:pPr>
      <w:r>
        <w:rPr>
          <w:rFonts w:hint="eastAsia" w:ascii="Times New Roman" w:hAnsi="Times New Roman" w:eastAsia="仿宋_GB2312" w:cs="Times New Roman"/>
          <w:b/>
          <w:bCs/>
          <w:sz w:val="32"/>
          <w:szCs w:val="32"/>
        </w:rPr>
        <w:t>编制：</w:t>
      </w:r>
      <w:r>
        <w:rPr>
          <w:rFonts w:hint="eastAsia" w:ascii="Times New Roman" w:hAnsi="Times New Roman" w:eastAsia="仿宋_GB2312" w:cs="Times New Roman"/>
          <w:b/>
          <w:bCs/>
          <w:sz w:val="32"/>
          <w:szCs w:val="32"/>
          <w:u w:val="single"/>
        </w:rPr>
        <w:t xml:space="preserve">                   </w:t>
      </w:r>
    </w:p>
    <w:p>
      <w:pPr>
        <w:spacing w:line="360" w:lineRule="auto"/>
        <w:ind w:left="2100" w:leftChars="10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审核：</w:t>
      </w:r>
      <w:r>
        <w:rPr>
          <w:rFonts w:hint="eastAsia" w:ascii="Times New Roman" w:hAnsi="Times New Roman" w:eastAsia="仿宋_GB2312" w:cs="Times New Roman"/>
          <w:b/>
          <w:bCs/>
          <w:sz w:val="32"/>
          <w:szCs w:val="32"/>
          <w:u w:val="single"/>
        </w:rPr>
        <w:t xml:space="preserve">                   </w:t>
      </w:r>
    </w:p>
    <w:p>
      <w:pPr>
        <w:spacing w:line="360" w:lineRule="auto"/>
        <w:ind w:left="2100" w:leftChars="10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批准：</w:t>
      </w:r>
      <w:r>
        <w:rPr>
          <w:rFonts w:hint="eastAsia" w:ascii="Times New Roman" w:hAnsi="Times New Roman" w:eastAsia="仿宋_GB2312" w:cs="Times New Roman"/>
          <w:b/>
          <w:bCs/>
          <w:sz w:val="32"/>
          <w:szCs w:val="32"/>
          <w:u w:val="single"/>
        </w:rPr>
        <w:t xml:space="preserve">                   </w:t>
      </w:r>
    </w:p>
    <w:p>
      <w:pPr>
        <w:adjustRightInd w:val="0"/>
        <w:snapToGrid w:val="0"/>
        <w:spacing w:line="360" w:lineRule="auto"/>
        <w:jc w:val="center"/>
        <w:rPr>
          <w:rFonts w:ascii="宋体" w:hAnsi="宋体" w:eastAsia="宋体" w:cs="Times New Roman"/>
          <w:b/>
          <w:bCs/>
          <w:sz w:val="32"/>
          <w:szCs w:val="32"/>
        </w:rPr>
      </w:pPr>
    </w:p>
    <w:p>
      <w:pPr>
        <w:adjustRightInd w:val="0"/>
        <w:snapToGrid w:val="0"/>
        <w:spacing w:line="360" w:lineRule="auto"/>
        <w:jc w:val="center"/>
        <w:rPr>
          <w:rFonts w:ascii="宋体" w:hAnsi="宋体" w:eastAsia="宋体" w:cs="Times New Roman"/>
          <w:b/>
          <w:bCs/>
          <w:sz w:val="32"/>
          <w:szCs w:val="32"/>
        </w:rPr>
      </w:pPr>
    </w:p>
    <w:p>
      <w:pPr>
        <w:pStyle w:val="2"/>
        <w:rPr>
          <w:rFonts w:ascii="宋体" w:hAnsi="宋体" w:eastAsia="宋体" w:cs="Times New Roman"/>
          <w:b/>
          <w:bCs/>
          <w:sz w:val="32"/>
          <w:szCs w:val="32"/>
        </w:rPr>
      </w:pPr>
    </w:p>
    <w:p>
      <w:pPr>
        <w:pStyle w:val="3"/>
        <w:rPr>
          <w:rFonts w:ascii="宋体" w:hAnsi="宋体" w:eastAsia="宋体" w:cs="Times New Roman"/>
          <w:b/>
          <w:bCs/>
          <w:sz w:val="32"/>
          <w:szCs w:val="32"/>
        </w:rPr>
      </w:pPr>
    </w:p>
    <w:p>
      <w:pPr>
        <w:rPr>
          <w:rFonts w:ascii="宋体" w:hAnsi="宋体" w:eastAsia="宋体" w:cs="Times New Roman"/>
          <w:b/>
          <w:bCs/>
          <w:sz w:val="32"/>
          <w:szCs w:val="32"/>
        </w:rPr>
      </w:pPr>
    </w:p>
    <w:p>
      <w:pPr>
        <w:pStyle w:val="3"/>
        <w:rPr>
          <w:rFonts w:ascii="宋体" w:hAnsi="宋体" w:eastAsia="宋体" w:cs="Times New Roman"/>
          <w:b/>
          <w:bCs/>
          <w:sz w:val="32"/>
          <w:szCs w:val="32"/>
        </w:rPr>
      </w:pPr>
    </w:p>
    <w:p/>
    <w:p>
      <w:pPr>
        <w:adjustRightInd w:val="0"/>
        <w:snapToGrid w:val="0"/>
        <w:spacing w:line="360" w:lineRule="auto"/>
        <w:jc w:val="center"/>
        <w:rPr>
          <w:rFonts w:ascii="宋体" w:hAnsi="宋体" w:eastAsia="宋体" w:cs="Times New Roman"/>
          <w:b/>
          <w:bCs/>
          <w:sz w:val="32"/>
          <w:szCs w:val="32"/>
        </w:rPr>
      </w:pPr>
    </w:p>
    <w:p>
      <w:pPr>
        <w:spacing w:line="360" w:lineRule="auto"/>
        <w:ind w:firstLine="1285" w:firstLineChars="400"/>
        <w:jc w:val="both"/>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单位：</w:t>
      </w:r>
    </w:p>
    <w:p>
      <w:pPr>
        <w:spacing w:line="360" w:lineRule="auto"/>
        <w:ind w:firstLine="1285" w:firstLineChars="400"/>
        <w:jc w:val="both"/>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时间：</w:t>
      </w:r>
    </w:p>
    <w:p>
      <w:pPr>
        <w:autoSpaceDE w:val="0"/>
        <w:autoSpaceDN w:val="0"/>
        <w:adjustRightInd w:val="0"/>
        <w:jc w:val="center"/>
        <w:rPr>
          <w:rFonts w:ascii="Times New Roman" w:hAnsi="Times New Roman" w:eastAsia="宋体" w:cs="Times New Roman"/>
          <w:color w:val="000000"/>
        </w:rPr>
      </w:pPr>
      <w:r>
        <w:rPr>
          <w:rFonts w:ascii="Times New Roman" w:hAnsi="Times New Roman" w:eastAsia="宋体" w:cs="Times New Roman"/>
          <w:color w:val="000000"/>
        </w:rPr>
        <w:br w:type="page"/>
      </w:r>
    </w:p>
    <w:p>
      <w:pPr>
        <w:spacing w:before="217" w:beforeLines="50" w:after="217" w:afterLines="50" w:line="36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×××辐射事故总结报告</w:t>
      </w:r>
    </w:p>
    <w:p>
      <w:pPr>
        <w:spacing w:line="360" w:lineRule="auto"/>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一、事故情况</w:t>
      </w:r>
    </w:p>
    <w:p>
      <w:pPr>
        <w:spacing w:line="360" w:lineRule="auto"/>
        <w:ind w:firstLine="560" w:firstLineChars="200"/>
        <w:rPr>
          <w:rFonts w:ascii="Times New Roman" w:hAnsi="Times New Roman" w:eastAsia="宋体" w:cs="Times New Roman"/>
          <w:color w:val="000000"/>
          <w:sz w:val="28"/>
          <w:szCs w:val="28"/>
        </w:rPr>
      </w:pPr>
    </w:p>
    <w:p>
      <w:pPr>
        <w:spacing w:line="360" w:lineRule="auto"/>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二、应急响应情况</w:t>
      </w:r>
    </w:p>
    <w:p>
      <w:pPr>
        <w:spacing w:line="360" w:lineRule="auto"/>
        <w:ind w:firstLine="560" w:firstLineChars="200"/>
        <w:rPr>
          <w:rFonts w:ascii="Times New Roman" w:hAnsi="Times New Roman" w:eastAsia="宋体" w:cs="Times New Roman"/>
          <w:color w:val="000000"/>
          <w:sz w:val="28"/>
          <w:szCs w:val="28"/>
        </w:rPr>
      </w:pPr>
    </w:p>
    <w:p>
      <w:pPr>
        <w:spacing w:line="360" w:lineRule="auto"/>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三、后续工作</w:t>
      </w:r>
    </w:p>
    <w:p>
      <w:pPr>
        <w:spacing w:line="360" w:lineRule="auto"/>
        <w:ind w:firstLine="560" w:firstLineChars="200"/>
        <w:rPr>
          <w:rFonts w:ascii="Times New Roman" w:hAnsi="Times New Roman" w:eastAsia="宋体" w:cs="Times New Roman"/>
          <w:color w:val="000000"/>
          <w:sz w:val="28"/>
          <w:szCs w:val="28"/>
        </w:rPr>
      </w:pPr>
    </w:p>
    <w:p>
      <w:pPr>
        <w:spacing w:line="360" w:lineRule="auto"/>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四、处置结果</w:t>
      </w:r>
    </w:p>
    <w:p>
      <w:pPr>
        <w:spacing w:line="360" w:lineRule="auto"/>
        <w:ind w:firstLine="560" w:firstLineChars="200"/>
        <w:rPr>
          <w:rFonts w:ascii="Times New Roman" w:hAnsi="Times New Roman" w:eastAsia="宋体" w:cs="Times New Roman"/>
          <w:color w:val="000000"/>
          <w:sz w:val="28"/>
          <w:szCs w:val="28"/>
        </w:rPr>
      </w:pPr>
    </w:p>
    <w:p>
      <w:pPr>
        <w:spacing w:line="360" w:lineRule="auto"/>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五、存在的问题</w:t>
      </w:r>
    </w:p>
    <w:p>
      <w:pPr>
        <w:spacing w:line="360" w:lineRule="auto"/>
        <w:ind w:firstLine="560" w:firstLineChars="200"/>
        <w:rPr>
          <w:rFonts w:ascii="Times New Roman" w:hAnsi="Times New Roman" w:eastAsia="宋体" w:cs="Times New Roman"/>
          <w:color w:val="000000"/>
          <w:sz w:val="28"/>
          <w:szCs w:val="28"/>
        </w:rPr>
      </w:pPr>
    </w:p>
    <w:p>
      <w:pPr>
        <w:spacing w:line="360" w:lineRule="auto"/>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六、有关建议</w:t>
      </w:r>
    </w:p>
    <w:p>
      <w:pPr>
        <w:spacing w:line="360" w:lineRule="auto"/>
        <w:ind w:firstLine="560" w:firstLineChars="200"/>
        <w:rPr>
          <w:rFonts w:ascii="Times New Roman" w:hAnsi="Times New Roman" w:eastAsia="宋体" w:cs="Times New Roman"/>
          <w:color w:val="000000"/>
          <w:sz w:val="28"/>
          <w:szCs w:val="28"/>
        </w:rPr>
      </w:pPr>
    </w:p>
    <w:p>
      <w:pPr>
        <w:spacing w:line="360" w:lineRule="auto"/>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七、附件</w:t>
      </w:r>
    </w:p>
    <w:p>
      <w:pPr>
        <w:spacing w:line="360" w:lineRule="auto"/>
        <w:ind w:firstLine="560" w:firstLineChars="200"/>
        <w:rPr>
          <w:rFonts w:ascii="Times New Roman" w:hAnsi="Times New Roman" w:eastAsia="宋体" w:cs="Times New Roman"/>
          <w:color w:val="000000"/>
          <w:sz w:val="28"/>
          <w:szCs w:val="28"/>
        </w:rPr>
      </w:pPr>
    </w:p>
    <w:p>
      <w:pPr>
        <w:snapToGrid w:val="0"/>
        <w:ind w:firstLine="200" w:firstLineChars="200"/>
        <w:rPr>
          <w:rFonts w:ascii="黑体" w:hAnsi="Times New Roman" w:eastAsia="黑体" w:cs="黑体"/>
          <w:color w:val="000000"/>
          <w:sz w:val="10"/>
          <w:szCs w:val="10"/>
        </w:rPr>
      </w:pPr>
    </w:p>
    <w:p>
      <w:pPr>
        <w:pStyle w:val="2"/>
        <w:rPr>
          <w:rFonts w:ascii="黑体" w:hAnsi="Times New Roman" w:eastAsia="黑体" w:cs="黑体"/>
          <w:color w:val="000000"/>
          <w:sz w:val="10"/>
          <w:szCs w:val="10"/>
        </w:rPr>
      </w:pPr>
    </w:p>
    <w:p>
      <w:pPr>
        <w:pStyle w:val="3"/>
      </w:pPr>
    </w:p>
    <w:p>
      <w:pPr>
        <w:snapToGrid w:val="0"/>
        <w:rPr>
          <w:rFonts w:ascii="黑体" w:hAnsi="Times New Roman" w:eastAsia="黑体" w:cs="黑体"/>
          <w:color w:val="000000"/>
          <w:sz w:val="10"/>
          <w:szCs w:val="10"/>
        </w:rPr>
      </w:pPr>
    </w:p>
    <w:p>
      <w:pPr>
        <w:snapToGrid w:val="0"/>
        <w:ind w:firstLine="200" w:firstLineChars="200"/>
        <w:rPr>
          <w:rFonts w:ascii="黑体" w:hAnsi="Times New Roman" w:eastAsia="黑体" w:cs="黑体"/>
          <w:color w:val="000000"/>
          <w:sz w:val="10"/>
          <w:szCs w:val="10"/>
        </w:rPr>
      </w:pPr>
    </w:p>
    <w:p>
      <w:pPr>
        <w:snapToGrid w:val="0"/>
        <w:rPr>
          <w:rFonts w:ascii="黑体" w:hAnsi="Times New Roman" w:eastAsia="黑体" w:cs="黑体"/>
          <w:color w:val="000000"/>
          <w:sz w:val="10"/>
          <w:szCs w:val="10"/>
        </w:rPr>
      </w:pPr>
    </w:p>
    <w:tbl>
      <w:tblPr>
        <w:tblStyle w:val="8"/>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84"/>
        <w:gridCol w:w="729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24" w:hRule="atLeast"/>
          <w:jc w:val="center"/>
        </w:trPr>
        <w:tc>
          <w:tcPr>
            <w:tcW w:w="1684" w:type="dxa"/>
            <w:vAlign w:val="center"/>
          </w:tcPr>
          <w:p>
            <w:pPr>
              <w:spacing w:line="360" w:lineRule="auto"/>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主送：XXX</w:t>
            </w:r>
          </w:p>
        </w:tc>
        <w:tc>
          <w:tcPr>
            <w:tcW w:w="7292" w:type="dxa"/>
            <w:vAlign w:val="center"/>
          </w:tcPr>
          <w:p>
            <w:pPr>
              <w:spacing w:line="360" w:lineRule="auto"/>
              <w:rPr>
                <w:rFonts w:ascii="Times New Roman" w:hAnsi="Times New Roman" w:eastAsia="宋体" w:cs="Times New Roman"/>
                <w:color w:val="000000"/>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84" w:type="dxa"/>
            <w:vAlign w:val="center"/>
          </w:tcPr>
          <w:p>
            <w:pPr>
              <w:spacing w:line="360" w:lineRule="auto"/>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抄送：XXX</w:t>
            </w:r>
          </w:p>
        </w:tc>
        <w:tc>
          <w:tcPr>
            <w:tcW w:w="7292" w:type="dxa"/>
            <w:vAlign w:val="center"/>
          </w:tcPr>
          <w:p>
            <w:pPr>
              <w:spacing w:line="360" w:lineRule="auto"/>
              <w:rPr>
                <w:rFonts w:ascii="Times New Roman" w:hAnsi="Times New Roman" w:eastAsia="宋体" w:cs="Times New Roman"/>
                <w:color w:val="000000"/>
                <w:sz w:val="28"/>
                <w:szCs w:val="28"/>
              </w:rPr>
            </w:pPr>
          </w:p>
        </w:tc>
      </w:tr>
    </w:tbl>
    <w:p/>
    <w:p/>
    <w:p>
      <w:pPr>
        <w:pStyle w:val="2"/>
        <w:ind w:firstLine="0"/>
        <w:sectPr>
          <w:footerReference r:id="rId4" w:type="default"/>
          <w:pgSz w:w="11906" w:h="16838"/>
          <w:pgMar w:top="1440" w:right="1800" w:bottom="1440" w:left="1800" w:header="851" w:footer="992" w:gutter="0"/>
          <w:pgNumType w:fmt="decimal" w:start="1"/>
          <w:cols w:space="425" w:num="1"/>
          <w:docGrid w:type="lines" w:linePitch="312" w:charSpace="0"/>
        </w:sectPr>
      </w:pPr>
    </w:p>
    <w:p>
      <w:pPr>
        <w:pStyle w:val="2"/>
        <w:ind w:firstLine="0"/>
        <w:outlineLvl w:val="1"/>
        <w:rPr>
          <w:rFonts w:hint="eastAsia" w:ascii="仿宋_GB2312" w:hAnsi="仿宋_GB2312" w:eastAsia="仿宋_GB2312" w:cs="仿宋_GB2312"/>
          <w:sz w:val="32"/>
          <w:szCs w:val="32"/>
          <w:lang w:val="en-US" w:eastAsia="zh-CN"/>
        </w:rPr>
      </w:pPr>
      <w:bookmarkStart w:id="318" w:name="_Toc3257"/>
      <w:r>
        <w:rPr>
          <w:rFonts w:hint="eastAsia" w:ascii="黑体" w:hAnsi="黑体" w:eastAsia="黑体" w:cs="黑体"/>
          <w:b w:val="0"/>
          <w:bCs/>
          <w:sz w:val="32"/>
          <w:szCs w:val="32"/>
          <w:lang w:val="en-US" w:eastAsia="zh-CN"/>
        </w:rPr>
        <w:t>附件4：</w:t>
      </w:r>
      <w:bookmarkEnd w:id="318"/>
      <w:r>
        <w:rPr>
          <w:rFonts w:hint="eastAsia" w:ascii="黑体" w:hAnsi="黑体" w:eastAsia="黑体" w:cs="黑体"/>
          <w:b w:val="0"/>
          <w:bCs/>
          <w:sz w:val="32"/>
          <w:szCs w:val="32"/>
          <w:lang w:val="en-US" w:eastAsia="zh-CN"/>
        </w:rPr>
        <w:t>深圳市辐射事故应急处置流程图</w:t>
      </w:r>
    </w:p>
    <w:p>
      <w:pPr>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bookmarkStart w:id="319" w:name="_GoBack"/>
      <w:r>
        <w:rPr>
          <w:rFonts w:hint="eastAsia"/>
          <w:lang w:val="en-US" w:eastAsia="zh-CN"/>
        </w:rPr>
        <w:drawing>
          <wp:inline distT="0" distB="0" distL="114300" distR="114300">
            <wp:extent cx="8815705" cy="4663440"/>
            <wp:effectExtent l="0" t="0" r="4445" b="3810"/>
            <wp:docPr id="1" name="图片 1" descr="a3f13d508388e5ff09dc7800c15cb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a3f13d508388e5ff09dc7800c15cb17"/>
                    <pic:cNvPicPr>
                      <a:picLocks noChangeAspect="true"/>
                    </pic:cNvPicPr>
                  </pic:nvPicPr>
                  <pic:blipFill>
                    <a:blip r:embed="rId6"/>
                    <a:stretch>
                      <a:fillRect/>
                    </a:stretch>
                  </pic:blipFill>
                  <pic:spPr>
                    <a:xfrm>
                      <a:off x="0" y="0"/>
                      <a:ext cx="8815705" cy="4663440"/>
                    </a:xfrm>
                    <a:prstGeom prst="rect">
                      <a:avLst/>
                    </a:prstGeom>
                  </pic:spPr>
                </pic:pic>
              </a:graphicData>
            </a:graphic>
          </wp:inline>
        </w:drawing>
      </w:r>
      <w:bookmarkEnd w:id="319"/>
    </w:p>
    <w:p>
      <w:pPr>
        <w:pStyle w:val="2"/>
        <w:ind w:firstLine="0"/>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5ODBiZDJmNzlhMDkzYTE2NDA2MmZiY2I2YWI2NTMifQ=="/>
  </w:docVars>
  <w:rsids>
    <w:rsidRoot w:val="00000000"/>
    <w:rsid w:val="00E91145"/>
    <w:rsid w:val="01367B76"/>
    <w:rsid w:val="01E91AD9"/>
    <w:rsid w:val="031019F2"/>
    <w:rsid w:val="036B7036"/>
    <w:rsid w:val="05E10638"/>
    <w:rsid w:val="067D4A19"/>
    <w:rsid w:val="067FE732"/>
    <w:rsid w:val="08E6788B"/>
    <w:rsid w:val="09FB1114"/>
    <w:rsid w:val="0A5F132C"/>
    <w:rsid w:val="0B640F3B"/>
    <w:rsid w:val="0C6030A9"/>
    <w:rsid w:val="0DD03F61"/>
    <w:rsid w:val="0E303FA0"/>
    <w:rsid w:val="0E3E5890"/>
    <w:rsid w:val="0F5871D0"/>
    <w:rsid w:val="1223231A"/>
    <w:rsid w:val="13000262"/>
    <w:rsid w:val="139C4763"/>
    <w:rsid w:val="14276FAA"/>
    <w:rsid w:val="144C310F"/>
    <w:rsid w:val="15E955E5"/>
    <w:rsid w:val="16561053"/>
    <w:rsid w:val="16874675"/>
    <w:rsid w:val="190D1F22"/>
    <w:rsid w:val="19EF7D46"/>
    <w:rsid w:val="1AD52F38"/>
    <w:rsid w:val="1B884CB7"/>
    <w:rsid w:val="1CD37CCF"/>
    <w:rsid w:val="1CDB6B83"/>
    <w:rsid w:val="1EE1035C"/>
    <w:rsid w:val="1FA900B1"/>
    <w:rsid w:val="20490153"/>
    <w:rsid w:val="217852A0"/>
    <w:rsid w:val="220C4FEF"/>
    <w:rsid w:val="223A4445"/>
    <w:rsid w:val="23615F04"/>
    <w:rsid w:val="247A0BBF"/>
    <w:rsid w:val="250E6BFE"/>
    <w:rsid w:val="254309D5"/>
    <w:rsid w:val="25F83424"/>
    <w:rsid w:val="26877132"/>
    <w:rsid w:val="26DD1BFF"/>
    <w:rsid w:val="27321A96"/>
    <w:rsid w:val="27642DBF"/>
    <w:rsid w:val="282431D7"/>
    <w:rsid w:val="284378A4"/>
    <w:rsid w:val="29F94E8A"/>
    <w:rsid w:val="2A3B6FB9"/>
    <w:rsid w:val="2AF07E2A"/>
    <w:rsid w:val="2B454A0C"/>
    <w:rsid w:val="2DCE0BB4"/>
    <w:rsid w:val="2E7438E5"/>
    <w:rsid w:val="2FEF77AA"/>
    <w:rsid w:val="302B6479"/>
    <w:rsid w:val="31951FEA"/>
    <w:rsid w:val="319C6D86"/>
    <w:rsid w:val="31FA556E"/>
    <w:rsid w:val="32190448"/>
    <w:rsid w:val="36660409"/>
    <w:rsid w:val="369D6D78"/>
    <w:rsid w:val="36B21C88"/>
    <w:rsid w:val="38417603"/>
    <w:rsid w:val="38786E06"/>
    <w:rsid w:val="389636B8"/>
    <w:rsid w:val="3B0241CB"/>
    <w:rsid w:val="3BAE1AB1"/>
    <w:rsid w:val="3C694AE9"/>
    <w:rsid w:val="3CB410B8"/>
    <w:rsid w:val="3CED7123"/>
    <w:rsid w:val="3E714D03"/>
    <w:rsid w:val="3ECC16DA"/>
    <w:rsid w:val="3EE332CA"/>
    <w:rsid w:val="3EF47905"/>
    <w:rsid w:val="41501850"/>
    <w:rsid w:val="436003E3"/>
    <w:rsid w:val="45AA2785"/>
    <w:rsid w:val="45DE6B52"/>
    <w:rsid w:val="460F2E7C"/>
    <w:rsid w:val="496B5A8C"/>
    <w:rsid w:val="4C2D4456"/>
    <w:rsid w:val="4D234C1F"/>
    <w:rsid w:val="4D4B014F"/>
    <w:rsid w:val="4D666FE1"/>
    <w:rsid w:val="4DB628F1"/>
    <w:rsid w:val="4FD01D9E"/>
    <w:rsid w:val="526FE8AE"/>
    <w:rsid w:val="533E5512"/>
    <w:rsid w:val="54C54390"/>
    <w:rsid w:val="55062DA8"/>
    <w:rsid w:val="56144585"/>
    <w:rsid w:val="5717642E"/>
    <w:rsid w:val="57730263"/>
    <w:rsid w:val="577E8B3D"/>
    <w:rsid w:val="59305AC2"/>
    <w:rsid w:val="59982822"/>
    <w:rsid w:val="59BF34B1"/>
    <w:rsid w:val="5A776E9E"/>
    <w:rsid w:val="5ABD8094"/>
    <w:rsid w:val="5B7E6552"/>
    <w:rsid w:val="5B8E877A"/>
    <w:rsid w:val="5BD10461"/>
    <w:rsid w:val="5DB38114"/>
    <w:rsid w:val="5DBC350C"/>
    <w:rsid w:val="5DC351FF"/>
    <w:rsid w:val="5F9370D2"/>
    <w:rsid w:val="5FFB3DF4"/>
    <w:rsid w:val="61243522"/>
    <w:rsid w:val="61F065C4"/>
    <w:rsid w:val="63352116"/>
    <w:rsid w:val="6461518D"/>
    <w:rsid w:val="65E12BA8"/>
    <w:rsid w:val="68D87A08"/>
    <w:rsid w:val="6A5F2684"/>
    <w:rsid w:val="6BA32BB0"/>
    <w:rsid w:val="6C317B72"/>
    <w:rsid w:val="6C4D3587"/>
    <w:rsid w:val="6CD4166F"/>
    <w:rsid w:val="6D9BBD40"/>
    <w:rsid w:val="6DEDFAEB"/>
    <w:rsid w:val="6E497BFD"/>
    <w:rsid w:val="6F5D7618"/>
    <w:rsid w:val="6FF61027"/>
    <w:rsid w:val="6FFB6F66"/>
    <w:rsid w:val="70F5661D"/>
    <w:rsid w:val="71597917"/>
    <w:rsid w:val="71CB202B"/>
    <w:rsid w:val="72737695"/>
    <w:rsid w:val="72987FCC"/>
    <w:rsid w:val="72D06C0F"/>
    <w:rsid w:val="754E3514"/>
    <w:rsid w:val="7555271F"/>
    <w:rsid w:val="76863DDC"/>
    <w:rsid w:val="77BF86F7"/>
    <w:rsid w:val="77F04E66"/>
    <w:rsid w:val="78F11580"/>
    <w:rsid w:val="7A122153"/>
    <w:rsid w:val="7A165AA5"/>
    <w:rsid w:val="7A590F81"/>
    <w:rsid w:val="7C5B0193"/>
    <w:rsid w:val="7C78731D"/>
    <w:rsid w:val="7CCD67B2"/>
    <w:rsid w:val="7D7D0934"/>
    <w:rsid w:val="7DCF5365"/>
    <w:rsid w:val="7DF15B76"/>
    <w:rsid w:val="7DF5200C"/>
    <w:rsid w:val="7DF8E9FF"/>
    <w:rsid w:val="7DFEAD29"/>
    <w:rsid w:val="7F7C6FCD"/>
    <w:rsid w:val="7F859B18"/>
    <w:rsid w:val="7F9FE54F"/>
    <w:rsid w:val="7FED36EB"/>
    <w:rsid w:val="8B7BBAAA"/>
    <w:rsid w:val="9DE78AD3"/>
    <w:rsid w:val="B9E54866"/>
    <w:rsid w:val="BEAF193B"/>
    <w:rsid w:val="BEAF88F6"/>
    <w:rsid w:val="BF6F85EE"/>
    <w:rsid w:val="BFFED871"/>
    <w:rsid w:val="DF7DF098"/>
    <w:rsid w:val="DFBB8EA3"/>
    <w:rsid w:val="E7FFF2A9"/>
    <w:rsid w:val="EF7FD611"/>
    <w:rsid w:val="F1E8250D"/>
    <w:rsid w:val="F7DE437C"/>
    <w:rsid w:val="F9D97FA0"/>
    <w:rsid w:val="FE7BA4D1"/>
    <w:rsid w:val="FF7E7571"/>
    <w:rsid w:val="FFD1C80A"/>
    <w:rsid w:val="FFFCC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cs="Times New Roman"/>
      <w:szCs w:val="24"/>
    </w:r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13816</Words>
  <Characters>14144</Characters>
  <Lines>0</Lines>
  <Paragraphs>0</Paragraphs>
  <TotalTime>18</TotalTime>
  <ScaleCrop>false</ScaleCrop>
  <LinksUpToDate>false</LinksUpToDate>
  <CharactersWithSpaces>14430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2024-11-20T11:33:00Z</dcterms:created>
  <dc:creator>97405</dc:creator>
  <cp:lastModifiedBy>kakin</cp:lastModifiedBy>
  <cp:lastPrinted>2024-11-20T16:20:00Z</cp:lastPrinted>
  <dcterms:modified xsi:type="dcterms:W3CDTF">2025-02-24T16:02:57Z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4C5E4F3AB37B469EB7BF176804F00F16_13</vt:lpwstr>
  </property>
  <property fmtid="{D5CDD505-2E9C-101B-9397-08002B2CF9AE}" pid="4" name="KSOTemplateDocerSaveRecord">
    <vt:lpwstr>eyJoZGlkIjoiZWY5ODBiZDJmNzlhMDkzYTE2NDA2MmZiY2I2YWI2NTMiLCJ1c2VySWQiOiI0NDg0NTc3ODYifQ==</vt:lpwstr>
  </property>
</Properties>
</file>